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D1BD" w14:textId="73F427DD" w:rsidR="002E458B" w:rsidRPr="00F92EBC" w:rsidRDefault="002E458B" w:rsidP="002E458B">
      <w:pPr>
        <w:spacing w:before="1080" w:after="0" w:line="360" w:lineRule="auto"/>
        <w:rPr>
          <w:rFonts w:ascii="Cambria" w:hAnsi="Cambria"/>
          <w:color w:val="262B33"/>
          <w:shd w:val="clear" w:color="auto" w:fill="FFFFFF"/>
        </w:rPr>
      </w:pPr>
      <w:r w:rsidRPr="00F92EBC">
        <w:rPr>
          <w:rFonts w:ascii="Cambria" w:hAnsi="Cambria"/>
          <w:color w:val="262B33"/>
          <w:shd w:val="clear" w:color="auto" w:fill="FFFFFF"/>
        </w:rPr>
        <w:t xml:space="preserve">TISKOVÁ ZPRÁVA ze dne </w:t>
      </w:r>
      <w:r w:rsidR="00C30775">
        <w:rPr>
          <w:rFonts w:ascii="Cambria" w:eastAsia="Times New Roman" w:hAnsi="Cambria" w:cs="Times New Roman"/>
          <w:color w:val="000000"/>
          <w:lang w:eastAsia="cs-CZ"/>
        </w:rPr>
        <w:t>27</w:t>
      </w:r>
      <w:r>
        <w:rPr>
          <w:rFonts w:ascii="Cambria" w:eastAsia="Times New Roman" w:hAnsi="Cambria" w:cs="Times New Roman"/>
          <w:color w:val="000000"/>
          <w:lang w:eastAsia="cs-CZ"/>
        </w:rPr>
        <w:t xml:space="preserve">. </w:t>
      </w:r>
      <w:r w:rsidR="00C30775">
        <w:rPr>
          <w:rFonts w:ascii="Cambria" w:eastAsia="Times New Roman" w:hAnsi="Cambria" w:cs="Times New Roman"/>
          <w:color w:val="000000"/>
          <w:lang w:eastAsia="cs-CZ"/>
        </w:rPr>
        <w:t>4</w:t>
      </w:r>
      <w:r w:rsidRPr="00F92EBC">
        <w:rPr>
          <w:rFonts w:ascii="Cambria" w:eastAsia="Times New Roman" w:hAnsi="Cambria" w:cs="Times New Roman"/>
          <w:color w:val="000000"/>
          <w:lang w:eastAsia="cs-CZ"/>
        </w:rPr>
        <w:t>. 202</w:t>
      </w:r>
      <w:r w:rsidR="006E063B">
        <w:rPr>
          <w:rFonts w:ascii="Cambria" w:eastAsia="Times New Roman" w:hAnsi="Cambria" w:cs="Times New Roman"/>
          <w:color w:val="000000"/>
          <w:lang w:eastAsia="cs-CZ"/>
        </w:rPr>
        <w:t>3</w:t>
      </w:r>
    </w:p>
    <w:p w14:paraId="4A3250CB" w14:textId="0618692A" w:rsidR="006E063B" w:rsidRPr="00FB0610" w:rsidRDefault="006E063B" w:rsidP="006E063B">
      <w:pPr>
        <w:autoSpaceDE w:val="0"/>
        <w:autoSpaceDN w:val="0"/>
        <w:adjustRightInd w:val="0"/>
        <w:spacing w:before="480" w:after="0" w:line="240" w:lineRule="auto"/>
        <w:rPr>
          <w:rFonts w:ascii="Cambria" w:hAnsi="Cambria" w:cs="Adelle-SemiBold"/>
          <w:b/>
          <w:bCs/>
          <w:sz w:val="24"/>
          <w:szCs w:val="24"/>
        </w:rPr>
      </w:pPr>
      <w:r w:rsidRPr="006E063B">
        <w:rPr>
          <w:rFonts w:ascii="Cambria" w:hAnsi="Cambria" w:cs="Adelle-SemiBold"/>
          <w:b/>
          <w:bCs/>
          <w:sz w:val="24"/>
          <w:szCs w:val="24"/>
        </w:rPr>
        <w:t xml:space="preserve">Studie </w:t>
      </w:r>
      <w:proofErr w:type="spellStart"/>
      <w:r w:rsidRPr="006E063B">
        <w:rPr>
          <w:rFonts w:ascii="Cambria" w:hAnsi="Cambria" w:cs="Adelle-SemiBold"/>
          <w:b/>
          <w:bCs/>
          <w:sz w:val="24"/>
          <w:szCs w:val="24"/>
        </w:rPr>
        <w:t>Legal</w:t>
      </w:r>
      <w:proofErr w:type="spellEnd"/>
      <w:r w:rsidRPr="006E063B">
        <w:rPr>
          <w:rFonts w:ascii="Cambria" w:hAnsi="Cambria" w:cs="Adelle-SemiBold"/>
          <w:b/>
          <w:bCs/>
          <w:sz w:val="24"/>
          <w:szCs w:val="24"/>
        </w:rPr>
        <w:t xml:space="preserve"> Data </w:t>
      </w:r>
      <w:r w:rsidRPr="00FB0610">
        <w:rPr>
          <w:rFonts w:ascii="Cambria" w:hAnsi="Cambria" w:cs="Adelle-SemiBold"/>
          <w:b/>
          <w:bCs/>
          <w:sz w:val="24"/>
          <w:szCs w:val="24"/>
        </w:rPr>
        <w:t xml:space="preserve">Hub </w:t>
      </w:r>
      <w:r w:rsidR="00C30775">
        <w:rPr>
          <w:rFonts w:ascii="Cambria" w:hAnsi="Cambria" w:cs="Adelle-SemiBold"/>
          <w:b/>
          <w:bCs/>
          <w:sz w:val="24"/>
          <w:szCs w:val="24"/>
        </w:rPr>
        <w:br/>
      </w:r>
      <w:r w:rsidR="00C30775">
        <w:rPr>
          <w:rFonts w:ascii="Cambria" w:hAnsi="Cambria" w:cs="Adelle-SemiBold"/>
          <w:b/>
          <w:bCs/>
          <w:sz w:val="24"/>
          <w:szCs w:val="24"/>
        </w:rPr>
        <w:br/>
      </w:r>
      <w:r w:rsidR="00C30775" w:rsidRPr="00C30775">
        <w:rPr>
          <w:rFonts w:ascii="Cambria" w:hAnsi="Cambria" w:cs="Adelle-SemiBold"/>
          <w:b/>
          <w:bCs/>
          <w:color w:val="C00000"/>
          <w:sz w:val="24"/>
          <w:szCs w:val="24"/>
        </w:rPr>
        <w:t xml:space="preserve">Jak zlepšit výběr pokut? </w:t>
      </w:r>
      <w:r w:rsidR="00C30775" w:rsidRPr="00C30775">
        <w:rPr>
          <w:rFonts w:ascii="Cambria" w:hAnsi="Cambria" w:cs="Adelle-SemiBold"/>
          <w:b/>
          <w:bCs/>
          <w:color w:val="C00000"/>
          <w:sz w:val="24"/>
          <w:szCs w:val="24"/>
        </w:rPr>
        <w:br/>
      </w:r>
      <w:r w:rsidR="00C30775" w:rsidRPr="00C30775">
        <w:rPr>
          <w:rFonts w:ascii="Cambria" w:hAnsi="Cambria" w:cs="Adelle-SemiBold"/>
          <w:b/>
          <w:bCs/>
          <w:color w:val="C00000"/>
          <w:sz w:val="24"/>
          <w:szCs w:val="24"/>
        </w:rPr>
        <w:t>Experiment se zjednodušením informací</w:t>
      </w:r>
    </w:p>
    <w:p w14:paraId="208B320C" w14:textId="588E86A7" w:rsidR="00C30775" w:rsidRPr="00C30775" w:rsidRDefault="006E063B" w:rsidP="00C30775">
      <w:pPr>
        <w:autoSpaceDE w:val="0"/>
        <w:autoSpaceDN w:val="0"/>
        <w:adjustRightInd w:val="0"/>
        <w:spacing w:before="480" w:after="0" w:line="240" w:lineRule="auto"/>
        <w:jc w:val="both"/>
        <w:rPr>
          <w:rFonts w:ascii="Cambria" w:hAnsi="Cambria" w:cs="Adelle-SemiBold"/>
          <w:b/>
          <w:bCs/>
        </w:rPr>
      </w:pPr>
      <w:r w:rsidRPr="006E063B">
        <w:rPr>
          <w:rFonts w:ascii="Cambria" w:hAnsi="Cambria" w:cs="Adelle-SemiBold"/>
          <w:b/>
          <w:bCs/>
        </w:rPr>
        <w:t xml:space="preserve">Projekt </w:t>
      </w:r>
      <w:proofErr w:type="spellStart"/>
      <w:r w:rsidRPr="006E063B">
        <w:rPr>
          <w:rFonts w:ascii="Cambria" w:hAnsi="Cambria" w:cs="Adelle-SemiBold"/>
          <w:b/>
          <w:bCs/>
        </w:rPr>
        <w:t>Legal</w:t>
      </w:r>
      <w:proofErr w:type="spellEnd"/>
      <w:r w:rsidRPr="006E063B">
        <w:rPr>
          <w:rFonts w:ascii="Cambria" w:hAnsi="Cambria" w:cs="Adelle-SemiBold"/>
          <w:b/>
          <w:bCs/>
        </w:rPr>
        <w:t xml:space="preserve"> Data Hub přináší novou studii</w:t>
      </w:r>
      <w:r w:rsidR="00C30775">
        <w:rPr>
          <w:rFonts w:ascii="Cambria" w:hAnsi="Cambria" w:cs="Adelle-SemiBold"/>
          <w:b/>
          <w:bCs/>
        </w:rPr>
        <w:t>:</w:t>
      </w:r>
      <w:r w:rsidRPr="006E063B">
        <w:rPr>
          <w:rFonts w:ascii="Cambria" w:hAnsi="Cambria" w:cs="Adelle-SemiBold"/>
          <w:b/>
          <w:bCs/>
        </w:rPr>
        <w:t xml:space="preserve"> </w:t>
      </w:r>
      <w:r w:rsidR="00C30775" w:rsidRPr="00C30775">
        <w:rPr>
          <w:rFonts w:ascii="Cambria" w:hAnsi="Cambria" w:cs="Adelle-SemiBold"/>
          <w:b/>
          <w:bCs/>
        </w:rPr>
        <w:t>Jak zlepšit výběr pokut? Experiment se</w:t>
      </w:r>
      <w:r w:rsidR="00C30775">
        <w:rPr>
          <w:rFonts w:ascii="Cambria" w:hAnsi="Cambria" w:cs="Adelle-SemiBold"/>
          <w:b/>
          <w:bCs/>
        </w:rPr>
        <w:t> </w:t>
      </w:r>
      <w:r w:rsidR="00C30775" w:rsidRPr="00C30775">
        <w:rPr>
          <w:rFonts w:ascii="Cambria" w:hAnsi="Cambria" w:cs="Adelle-SemiBold"/>
          <w:b/>
          <w:bCs/>
        </w:rPr>
        <w:t>zjednodušením informací</w:t>
      </w:r>
    </w:p>
    <w:p w14:paraId="706486F9" w14:textId="77777777" w:rsidR="00C30775" w:rsidRDefault="00C30775" w:rsidP="00C30775">
      <w:pPr>
        <w:autoSpaceDE w:val="0"/>
        <w:autoSpaceDN w:val="0"/>
        <w:adjustRightInd w:val="0"/>
        <w:spacing w:before="480" w:after="0" w:line="240" w:lineRule="auto"/>
        <w:jc w:val="both"/>
        <w:rPr>
          <w:rFonts w:ascii="Cambria" w:hAnsi="Cambria" w:cs="Adelle-SemiBold"/>
        </w:rPr>
      </w:pPr>
      <w:r w:rsidRPr="00C30775">
        <w:rPr>
          <w:rFonts w:ascii="Cambria" w:hAnsi="Cambria" w:cs="Adelle-SemiBold"/>
        </w:rPr>
        <w:t xml:space="preserve">Projekt </w:t>
      </w:r>
      <w:proofErr w:type="spellStart"/>
      <w:r w:rsidRPr="00C30775">
        <w:rPr>
          <w:rFonts w:ascii="Cambria" w:hAnsi="Cambria" w:cs="Adelle-SemiBold"/>
        </w:rPr>
        <w:t>Legal</w:t>
      </w:r>
      <w:proofErr w:type="spellEnd"/>
      <w:r w:rsidRPr="00C30775">
        <w:rPr>
          <w:rFonts w:ascii="Cambria" w:hAnsi="Cambria" w:cs="Adelle-SemiBold"/>
        </w:rPr>
        <w:t xml:space="preserve"> Data Hub přináší novou studii Jak zlepšit výběr pokut? Experiment se</w:t>
      </w:r>
      <w:r>
        <w:rPr>
          <w:rFonts w:ascii="Cambria" w:hAnsi="Cambria" w:cs="Adelle-SemiBold"/>
        </w:rPr>
        <w:t> </w:t>
      </w:r>
      <w:r w:rsidRPr="00C30775">
        <w:rPr>
          <w:rFonts w:ascii="Cambria" w:hAnsi="Cambria" w:cs="Adelle-SemiBold"/>
        </w:rPr>
        <w:t>zjednodušením informací, jejímiž autory jsou Libor Dušek z Právnické fakulty UK a Christian</w:t>
      </w:r>
      <w:r>
        <w:rPr>
          <w:rFonts w:ascii="Cambria" w:hAnsi="Cambria" w:cs="Adelle-SemiBold"/>
        </w:rPr>
        <w:t xml:space="preserve"> </w:t>
      </w:r>
      <w:proofErr w:type="spellStart"/>
      <w:r w:rsidRPr="00C30775">
        <w:rPr>
          <w:rFonts w:ascii="Cambria" w:hAnsi="Cambria" w:cs="Adelle-SemiBold"/>
        </w:rPr>
        <w:t>Traxler</w:t>
      </w:r>
      <w:proofErr w:type="spellEnd"/>
      <w:r w:rsidRPr="00C30775">
        <w:rPr>
          <w:rFonts w:ascii="Cambria" w:hAnsi="Cambria" w:cs="Adelle-SemiBold"/>
        </w:rPr>
        <w:t xml:space="preserve"> a Nicolas </w:t>
      </w:r>
      <w:proofErr w:type="spellStart"/>
      <w:r w:rsidRPr="00C30775">
        <w:rPr>
          <w:rFonts w:ascii="Cambria" w:hAnsi="Cambria" w:cs="Adelle-SemiBold"/>
        </w:rPr>
        <w:t>Pardo</w:t>
      </w:r>
      <w:proofErr w:type="spellEnd"/>
      <w:r w:rsidRPr="00C30775">
        <w:rPr>
          <w:rFonts w:ascii="Cambria" w:hAnsi="Cambria" w:cs="Adelle-SemiBold"/>
        </w:rPr>
        <w:t xml:space="preserve"> z </w:t>
      </w:r>
      <w:proofErr w:type="spellStart"/>
      <w:r w:rsidRPr="00C30775">
        <w:rPr>
          <w:rFonts w:ascii="Cambria" w:hAnsi="Cambria" w:cs="Adelle-SemiBold"/>
        </w:rPr>
        <w:t>Hertie</w:t>
      </w:r>
      <w:proofErr w:type="spellEnd"/>
      <w:r w:rsidRPr="00C30775">
        <w:rPr>
          <w:rFonts w:ascii="Cambria" w:hAnsi="Cambria" w:cs="Adelle-SemiBold"/>
        </w:rPr>
        <w:t xml:space="preserve"> </w:t>
      </w:r>
      <w:proofErr w:type="spellStart"/>
      <w:r w:rsidRPr="00C30775">
        <w:rPr>
          <w:rFonts w:ascii="Cambria" w:hAnsi="Cambria" w:cs="Adelle-SemiBold"/>
        </w:rPr>
        <w:t>School</w:t>
      </w:r>
      <w:proofErr w:type="spellEnd"/>
      <w:r w:rsidRPr="00C30775">
        <w:rPr>
          <w:rFonts w:ascii="Cambria" w:hAnsi="Cambria" w:cs="Adelle-SemiBold"/>
        </w:rPr>
        <w:t xml:space="preserve"> v Berlíně.</w:t>
      </w:r>
    </w:p>
    <w:p w14:paraId="3753D356" w14:textId="5408CB1A" w:rsidR="00C30775" w:rsidRPr="00C30775" w:rsidRDefault="00C30775" w:rsidP="00C30775">
      <w:pPr>
        <w:autoSpaceDE w:val="0"/>
        <w:autoSpaceDN w:val="0"/>
        <w:adjustRightInd w:val="0"/>
        <w:spacing w:before="480" w:after="0" w:line="240" w:lineRule="auto"/>
        <w:jc w:val="both"/>
        <w:rPr>
          <w:rFonts w:ascii="Cambria" w:hAnsi="Cambria" w:cs="Adelle-SemiBold"/>
        </w:rPr>
      </w:pPr>
      <w:r w:rsidRPr="00C30775">
        <w:rPr>
          <w:rFonts w:ascii="Cambria" w:hAnsi="Cambria" w:cs="Adelle-SemiBold"/>
        </w:rPr>
        <w:t>Pokuty za dopravní přestupky se mají platit, a mají se platit včas. Například v Praze 1 zaplatí jen 56 % řidičů pokutu (tj. částku určenou ve výzvě k úhradě) ve stanovené lhůtě. Následné vymáhání ve správním řízení je pro městské úřady nákladné a úspěšnost není vysoká (ve zmiňované Praze 1 jen 60 %). Pro zlepšení výběru pokut je proto důležité, aby co nejvíce výzev bylo uhrazeno ve</w:t>
      </w:r>
      <w:r>
        <w:rPr>
          <w:rFonts w:ascii="Cambria" w:hAnsi="Cambria" w:cs="Adelle-SemiBold"/>
        </w:rPr>
        <w:t> </w:t>
      </w:r>
      <w:r w:rsidRPr="00C30775">
        <w:rPr>
          <w:rFonts w:ascii="Cambria" w:hAnsi="Cambria" w:cs="Adelle-SemiBold"/>
        </w:rPr>
        <w:t>lhůtě.</w:t>
      </w:r>
      <w:r w:rsidRPr="00C30775">
        <w:rPr>
          <w:rFonts w:ascii="Cambria" w:hAnsi="Cambria" w:cs="Adelle-SemiBold"/>
        </w:rPr>
        <w:tab/>
      </w:r>
    </w:p>
    <w:p w14:paraId="25DF5014" w14:textId="77777777" w:rsidR="00C30775" w:rsidRPr="00C30775" w:rsidRDefault="00C30775" w:rsidP="00C30775">
      <w:pPr>
        <w:autoSpaceDE w:val="0"/>
        <w:autoSpaceDN w:val="0"/>
        <w:adjustRightInd w:val="0"/>
        <w:spacing w:before="480" w:after="0" w:line="240" w:lineRule="auto"/>
        <w:jc w:val="both"/>
        <w:rPr>
          <w:rFonts w:ascii="Cambria" w:hAnsi="Cambria" w:cs="Adelle-SemiBold"/>
        </w:rPr>
      </w:pPr>
      <w:r w:rsidRPr="00C30775">
        <w:rPr>
          <w:rFonts w:ascii="Cambria" w:hAnsi="Cambria" w:cs="Adelle-SemiBold"/>
        </w:rPr>
        <w:t xml:space="preserve">Jednoduchou a velmi levnou změnou – stručným průvodním dopisem – lze zvýšit včasné placení pokut a jejich výběr tak zefektivnit. Účinnost takové změny otestovali výzkumníci z Právnické fakulty UK a z </w:t>
      </w:r>
      <w:proofErr w:type="spellStart"/>
      <w:r w:rsidRPr="00C30775">
        <w:rPr>
          <w:rFonts w:ascii="Cambria" w:hAnsi="Cambria" w:cs="Adelle-SemiBold"/>
        </w:rPr>
        <w:t>Hertie</w:t>
      </w:r>
      <w:proofErr w:type="spellEnd"/>
      <w:r w:rsidRPr="00C30775">
        <w:rPr>
          <w:rFonts w:ascii="Cambria" w:hAnsi="Cambria" w:cs="Adelle-SemiBold"/>
        </w:rPr>
        <w:t xml:space="preserve"> </w:t>
      </w:r>
      <w:proofErr w:type="spellStart"/>
      <w:r w:rsidRPr="00C30775">
        <w:rPr>
          <w:rFonts w:ascii="Cambria" w:hAnsi="Cambria" w:cs="Adelle-SemiBold"/>
        </w:rPr>
        <w:t>School</w:t>
      </w:r>
      <w:proofErr w:type="spellEnd"/>
      <w:r w:rsidRPr="00C30775">
        <w:rPr>
          <w:rFonts w:ascii="Cambria" w:hAnsi="Cambria" w:cs="Adelle-SemiBold"/>
        </w:rPr>
        <w:t xml:space="preserve"> v Berlíně v pilotním projektu ve spolupráci s městem Říčany, které provozuje rozsáhlý systém úsekového měření rychlosti. </w:t>
      </w:r>
    </w:p>
    <w:p w14:paraId="030FCDD6" w14:textId="77777777" w:rsidR="00C30775" w:rsidRPr="00C30775" w:rsidRDefault="00C30775" w:rsidP="00C30775">
      <w:pPr>
        <w:autoSpaceDE w:val="0"/>
        <w:autoSpaceDN w:val="0"/>
        <w:adjustRightInd w:val="0"/>
        <w:spacing w:before="480" w:after="0" w:line="240" w:lineRule="auto"/>
        <w:jc w:val="both"/>
        <w:rPr>
          <w:rFonts w:ascii="Cambria" w:hAnsi="Cambria" w:cs="Adelle-SemiBold"/>
        </w:rPr>
      </w:pPr>
      <w:r w:rsidRPr="00C30775">
        <w:rPr>
          <w:rFonts w:ascii="Cambria" w:hAnsi="Cambria" w:cs="Adelle-SemiBold"/>
        </w:rPr>
        <w:t xml:space="preserve">Jednou z příčin problému je i samotná výzva k úhradě, kterou provozovatel vozidla po odhalení přestupku </w:t>
      </w:r>
      <w:proofErr w:type="gramStart"/>
      <w:r w:rsidRPr="00C30775">
        <w:rPr>
          <w:rFonts w:ascii="Cambria" w:hAnsi="Cambria" w:cs="Adelle-SemiBold"/>
        </w:rPr>
        <w:t>obdrží</w:t>
      </w:r>
      <w:proofErr w:type="gramEnd"/>
      <w:r w:rsidRPr="00C30775">
        <w:rPr>
          <w:rFonts w:ascii="Cambria" w:hAnsi="Cambria" w:cs="Adelle-SemiBold"/>
        </w:rPr>
        <w:t xml:space="preserve">. Dlouhý, právně-formalistický text, plný odkazů na paragrafy zákonů, obtížně srozumitelný. Z formulace „úřad bude pokračovat v šetření přestupku“ není pro běžného občana zrovna zřejmé, že při další nečinnosti mu bude uložena vyšší pokuta bez ohledu na to, zda jako provozovatel vozidlo řídil či nikoli. </w:t>
      </w:r>
    </w:p>
    <w:p w14:paraId="1058318F" w14:textId="6980E8CF" w:rsidR="00C30775" w:rsidRPr="00C30775" w:rsidRDefault="00C30775" w:rsidP="00C30775">
      <w:pPr>
        <w:autoSpaceDE w:val="0"/>
        <w:autoSpaceDN w:val="0"/>
        <w:adjustRightInd w:val="0"/>
        <w:spacing w:before="480" w:after="0" w:line="240" w:lineRule="auto"/>
        <w:jc w:val="both"/>
        <w:rPr>
          <w:rFonts w:ascii="Cambria" w:hAnsi="Cambria" w:cs="Adelle-SemiBold"/>
        </w:rPr>
      </w:pPr>
      <w:r w:rsidRPr="00C30775">
        <w:rPr>
          <w:rFonts w:ascii="Cambria" w:hAnsi="Cambria" w:cs="Adelle-SemiBold"/>
        </w:rPr>
        <w:t>„Hlavní myšlenkou projektu bylo, že adresáti musí dostat jednoduchý text, kde budou klíčové informace zvýrazněny,“ vysvětluje jeden z autorů studie, Libor Dušek. Téměř 80 tisíc výzev k</w:t>
      </w:r>
      <w:r>
        <w:rPr>
          <w:rFonts w:ascii="Cambria" w:hAnsi="Cambria" w:cs="Adelle-SemiBold"/>
        </w:rPr>
        <w:t> </w:t>
      </w:r>
      <w:r w:rsidRPr="00C30775">
        <w:rPr>
          <w:rFonts w:ascii="Cambria" w:hAnsi="Cambria" w:cs="Adelle-SemiBold"/>
        </w:rPr>
        <w:t>úhradě bylo náhodně přiřazeno do čtyřech skupin. Ve třech experimentálních skupinách byly na úvod výzvy přiloženy velmi stručné průvodní dopisy v rozdílných verzích. Dopisy zdůrazňovaly klíčové informace ve výzvě: nutnost uhradit výzvu do 15 dnů, nebo hrozbu vyšší sankce v případě včasného nezaplacení, nebo obě zároveň. Kontrolní skupina obdržela standardní text výzvy.</w:t>
      </w:r>
    </w:p>
    <w:p w14:paraId="2271F1E0" w14:textId="371B7C2A" w:rsidR="00C30775" w:rsidRPr="00C30775" w:rsidRDefault="00C30775" w:rsidP="00C30775">
      <w:pPr>
        <w:autoSpaceDE w:val="0"/>
        <w:autoSpaceDN w:val="0"/>
        <w:adjustRightInd w:val="0"/>
        <w:spacing w:before="480" w:after="0" w:line="240" w:lineRule="auto"/>
        <w:jc w:val="both"/>
        <w:rPr>
          <w:rFonts w:ascii="Cambria" w:hAnsi="Cambria" w:cs="Adelle-SemiBold"/>
        </w:rPr>
      </w:pPr>
      <w:r w:rsidRPr="00C30775">
        <w:rPr>
          <w:rFonts w:ascii="Cambria" w:hAnsi="Cambria" w:cs="Adelle-SemiBold"/>
        </w:rPr>
        <w:lastRenderedPageBreak/>
        <w:t>Autoři následně analyzovali, jaká část pokut byla zaplacena v 15denní lhůtě, respektive do 100 dnů. Nejúčinnější se ukázala verze dopisu upozorňující na lhůtu k zaplacení i hrozbu vyšší sankce. Snížila procento pokut nezaplacených v lhůtě o 2.06 procentního bodu, tedy o 9 % (vůči kontrolní skupině, kde ve lhůtě nebylo zaplaceno 22.1 % výzev). Procento pokut nezaplacených do 100 dnů snížila o 1.</w:t>
      </w:r>
      <w:proofErr w:type="gramStart"/>
      <w:r w:rsidRPr="00C30775">
        <w:rPr>
          <w:rFonts w:ascii="Cambria" w:hAnsi="Cambria" w:cs="Adelle-SemiBold"/>
        </w:rPr>
        <w:t>75</w:t>
      </w:r>
      <w:r>
        <w:rPr>
          <w:rFonts w:ascii="Cambria" w:hAnsi="Cambria" w:cs="Adelle-SemiBold"/>
        </w:rPr>
        <w:t xml:space="preserve"> </w:t>
      </w:r>
      <w:r w:rsidRPr="00C30775">
        <w:rPr>
          <w:rFonts w:ascii="Cambria" w:hAnsi="Cambria" w:cs="Adelle-SemiBold"/>
        </w:rPr>
        <w:t>procentního</w:t>
      </w:r>
      <w:proofErr w:type="gramEnd"/>
      <w:r w:rsidRPr="00C30775">
        <w:rPr>
          <w:rFonts w:ascii="Cambria" w:hAnsi="Cambria" w:cs="Adelle-SemiBold"/>
        </w:rPr>
        <w:t xml:space="preserve"> bodu.</w:t>
      </w:r>
    </w:p>
    <w:p w14:paraId="0858EE54" w14:textId="1BB54156" w:rsidR="00C30775" w:rsidRPr="00C30775" w:rsidRDefault="00C30775" w:rsidP="00C30775">
      <w:pPr>
        <w:autoSpaceDE w:val="0"/>
        <w:autoSpaceDN w:val="0"/>
        <w:adjustRightInd w:val="0"/>
        <w:spacing w:before="480" w:after="0" w:line="240" w:lineRule="auto"/>
        <w:jc w:val="both"/>
        <w:rPr>
          <w:rFonts w:ascii="Cambria" w:hAnsi="Cambria" w:cs="Adelle-SemiBold"/>
        </w:rPr>
      </w:pPr>
      <w:r w:rsidRPr="00C30775">
        <w:rPr>
          <w:rFonts w:ascii="Cambria" w:hAnsi="Cambria" w:cs="Adelle-SemiBold"/>
        </w:rPr>
        <w:t>Stručné průvodní dopisy měly pro město jasný rozpočtový přínos. Zvýšily příjmy z pokut a</w:t>
      </w:r>
      <w:r>
        <w:rPr>
          <w:rFonts w:ascii="Cambria" w:hAnsi="Cambria" w:cs="Adelle-SemiBold"/>
        </w:rPr>
        <w:t> </w:t>
      </w:r>
      <w:r w:rsidRPr="00C30775">
        <w:rPr>
          <w:rFonts w:ascii="Cambria" w:hAnsi="Cambria" w:cs="Adelle-SemiBold"/>
        </w:rPr>
        <w:t xml:space="preserve">ušetřily náklady na následné vymáhání. Náklady na přidání jednostránkového dopisu jsou přitom triviální. Autoři vyčíslili čisté rozpočtové přínosy na 12,6 Kč na přestupek, přičemž průměrná částka k úhradě je 830 Kč. Pokud by nejúčinnější průvodní dopis byl trvale přikládán ke všem výzvám, generoval by čistý rozpočtový přínos ve výši přibližně 530.000 CZK ročně. </w:t>
      </w:r>
    </w:p>
    <w:p w14:paraId="56BBB8B9" w14:textId="77777777" w:rsidR="00C30775" w:rsidRPr="00C30775" w:rsidRDefault="00C30775" w:rsidP="00C30775">
      <w:pPr>
        <w:autoSpaceDE w:val="0"/>
        <w:autoSpaceDN w:val="0"/>
        <w:adjustRightInd w:val="0"/>
        <w:spacing w:before="480" w:after="0" w:line="240" w:lineRule="auto"/>
        <w:jc w:val="both"/>
        <w:rPr>
          <w:rFonts w:ascii="Cambria" w:hAnsi="Cambria" w:cs="Adelle-SemiBold"/>
        </w:rPr>
      </w:pPr>
      <w:r w:rsidRPr="00C30775">
        <w:rPr>
          <w:rFonts w:ascii="Cambria" w:hAnsi="Cambria" w:cs="Adelle-SemiBold"/>
        </w:rPr>
        <w:t>Na základě zjištění z pilotního projektu město Říčany začalo přikládat nejúčinnější průvodní dopis ke všem výzvám trvale. Rozpočtové přínosy pokryjí přibližně čtvrtinu personálních nákladů spojených s celou agendou přestupků z úsekového měření.</w:t>
      </w:r>
    </w:p>
    <w:p w14:paraId="7AAA717D" w14:textId="77777777" w:rsidR="00C30775" w:rsidRPr="00C30775" w:rsidRDefault="00C30775" w:rsidP="00C30775">
      <w:pPr>
        <w:autoSpaceDE w:val="0"/>
        <w:autoSpaceDN w:val="0"/>
        <w:adjustRightInd w:val="0"/>
        <w:spacing w:before="480" w:after="0" w:line="240" w:lineRule="auto"/>
        <w:jc w:val="both"/>
        <w:rPr>
          <w:rFonts w:ascii="Cambria" w:hAnsi="Cambria" w:cs="Adelle-SemiBold"/>
        </w:rPr>
      </w:pPr>
      <w:r w:rsidRPr="00C30775">
        <w:rPr>
          <w:rFonts w:ascii="Cambria" w:hAnsi="Cambria" w:cs="Adelle-SemiBold"/>
        </w:rPr>
        <w:t xml:space="preserve">Tento výzkum má obecné využití v řadě kontextů vymáhání práva, kdy adresát </w:t>
      </w:r>
      <w:proofErr w:type="gramStart"/>
      <w:r w:rsidRPr="00C30775">
        <w:rPr>
          <w:rFonts w:ascii="Cambria" w:hAnsi="Cambria" w:cs="Adelle-SemiBold"/>
        </w:rPr>
        <w:t>obdrží</w:t>
      </w:r>
      <w:proofErr w:type="gramEnd"/>
      <w:r w:rsidRPr="00C30775">
        <w:rPr>
          <w:rFonts w:ascii="Cambria" w:hAnsi="Cambria" w:cs="Adelle-SemiBold"/>
        </w:rPr>
        <w:t xml:space="preserve"> komplikované vyrozumění a má na něj včas reagovat. Zjednodušení textu a zdůraznění klíčových informací může vymáhání práva zefektivnit; vhodný redesign vyrozumění lze experimentálně testovat.</w:t>
      </w:r>
    </w:p>
    <w:p w14:paraId="77D0B1E8" w14:textId="636D2AAE" w:rsidR="00C30775" w:rsidRPr="00C30775" w:rsidRDefault="00C30775" w:rsidP="00C30775">
      <w:pPr>
        <w:autoSpaceDE w:val="0"/>
        <w:autoSpaceDN w:val="0"/>
        <w:adjustRightInd w:val="0"/>
        <w:spacing w:before="480" w:after="0" w:line="240" w:lineRule="auto"/>
        <w:jc w:val="both"/>
        <w:rPr>
          <w:rFonts w:ascii="Cambria" w:hAnsi="Cambria" w:cs="Adelle-SemiBold"/>
        </w:rPr>
      </w:pPr>
      <w:r w:rsidRPr="00C30775">
        <w:rPr>
          <w:rFonts w:ascii="Cambria" w:hAnsi="Cambria" w:cs="Adelle-SemiBold"/>
        </w:rPr>
        <w:t xml:space="preserve">Podrobnější výsledky viz studie </w:t>
      </w:r>
      <w:proofErr w:type="spellStart"/>
      <w:r w:rsidRPr="00C30775">
        <w:rPr>
          <w:rFonts w:ascii="Cambria" w:hAnsi="Cambria" w:cs="Adelle-SemiBold"/>
        </w:rPr>
        <w:t>Legal</w:t>
      </w:r>
      <w:proofErr w:type="spellEnd"/>
      <w:r w:rsidRPr="00C30775">
        <w:rPr>
          <w:rFonts w:ascii="Cambria" w:hAnsi="Cambria" w:cs="Adelle-SemiBold"/>
        </w:rPr>
        <w:t xml:space="preserve"> Data Hubu, projektu Právnické fakulty Univerzity Karlovy: DUŠEK, Libor, TRAXLER, Christian a PARDO, Nicolas: Jak zlepšit výběr pokut? Experiment se</w:t>
      </w:r>
      <w:r>
        <w:rPr>
          <w:rFonts w:ascii="Cambria" w:hAnsi="Cambria" w:cs="Adelle-SemiBold"/>
        </w:rPr>
        <w:t> </w:t>
      </w:r>
      <w:r w:rsidRPr="00C30775">
        <w:rPr>
          <w:rFonts w:ascii="Cambria" w:hAnsi="Cambria" w:cs="Adelle-SemiBold"/>
        </w:rPr>
        <w:t xml:space="preserve">zjednodušením informací. </w:t>
      </w:r>
      <w:proofErr w:type="spellStart"/>
      <w:r w:rsidRPr="00C30775">
        <w:rPr>
          <w:rFonts w:ascii="Cambria" w:hAnsi="Cambria" w:cs="Adelle-SemiBold"/>
        </w:rPr>
        <w:t>Legal</w:t>
      </w:r>
      <w:proofErr w:type="spellEnd"/>
      <w:r w:rsidRPr="00C30775">
        <w:rPr>
          <w:rFonts w:ascii="Cambria" w:hAnsi="Cambria" w:cs="Adelle-SemiBold"/>
        </w:rPr>
        <w:t xml:space="preserve"> Data Hub 2/2023. Kompletní studii naleznete </w:t>
      </w:r>
      <w:hyperlink r:id="rId8" w:history="1">
        <w:r w:rsidRPr="00C30775">
          <w:rPr>
            <w:rStyle w:val="Hypertextovodkaz"/>
            <w:rFonts w:ascii="Cambria" w:hAnsi="Cambria" w:cs="Adelle-SemiBold"/>
            <w:b/>
            <w:bCs/>
          </w:rPr>
          <w:t>ZDE</w:t>
        </w:r>
      </w:hyperlink>
      <w:r w:rsidRPr="00C30775">
        <w:rPr>
          <w:rFonts w:ascii="Cambria" w:hAnsi="Cambria" w:cs="Adelle-SemiBold"/>
        </w:rPr>
        <w:t>.</w:t>
      </w:r>
    </w:p>
    <w:p w14:paraId="1C4607E5" w14:textId="098AB277" w:rsidR="00C30775" w:rsidRPr="00C30775" w:rsidRDefault="00C30775" w:rsidP="00C30775">
      <w:pPr>
        <w:autoSpaceDE w:val="0"/>
        <w:autoSpaceDN w:val="0"/>
        <w:adjustRightInd w:val="0"/>
        <w:spacing w:before="480" w:after="0" w:line="240" w:lineRule="auto"/>
        <w:jc w:val="both"/>
        <w:rPr>
          <w:rFonts w:ascii="Cambria" w:hAnsi="Cambria" w:cs="Adelle-SemiBold"/>
        </w:rPr>
      </w:pPr>
      <w:r w:rsidRPr="00C30775">
        <w:rPr>
          <w:rFonts w:ascii="Cambria" w:hAnsi="Cambria" w:cs="Adelle-SemiBold"/>
        </w:rPr>
        <w:t xml:space="preserve">Projekt </w:t>
      </w:r>
      <w:proofErr w:type="spellStart"/>
      <w:r w:rsidRPr="00C30775">
        <w:rPr>
          <w:rFonts w:ascii="Cambria" w:hAnsi="Cambria" w:cs="Adelle-SemiBold"/>
        </w:rPr>
        <w:t>Legal</w:t>
      </w:r>
      <w:proofErr w:type="spellEnd"/>
      <w:r w:rsidRPr="00C30775">
        <w:rPr>
          <w:rFonts w:ascii="Cambria" w:hAnsi="Cambria" w:cs="Adelle-SemiBold"/>
        </w:rPr>
        <w:t xml:space="preserve"> Data Hub vznikl na katedře národního hospodářství pod vedením doc. Libora Duška v roce 2021. Sdružuje akademiky a studenty Právnické fakulty UK, kteří zkoumají fungování justice, právní regulace a kriminalitu pomocí analýzy dat a statistických metod. Kompletní informace k projektu </w:t>
      </w:r>
      <w:proofErr w:type="spellStart"/>
      <w:r w:rsidRPr="00C30775">
        <w:rPr>
          <w:rFonts w:ascii="Cambria" w:hAnsi="Cambria" w:cs="Adelle-SemiBold"/>
        </w:rPr>
        <w:t>Legal</w:t>
      </w:r>
      <w:proofErr w:type="spellEnd"/>
      <w:r w:rsidRPr="00C30775">
        <w:rPr>
          <w:rFonts w:ascii="Cambria" w:hAnsi="Cambria" w:cs="Adelle-SemiBold"/>
        </w:rPr>
        <w:t xml:space="preserve"> Data Hub </w:t>
      </w:r>
      <w:hyperlink r:id="rId9" w:history="1">
        <w:r w:rsidRPr="00C30775">
          <w:rPr>
            <w:rStyle w:val="Hypertextovodkaz"/>
            <w:rFonts w:ascii="Cambria" w:hAnsi="Cambria" w:cs="Adelle-SemiBold"/>
            <w:b/>
            <w:bCs/>
          </w:rPr>
          <w:t>ZDE</w:t>
        </w:r>
      </w:hyperlink>
      <w:r w:rsidRPr="00C30775">
        <w:rPr>
          <w:rFonts w:ascii="Cambria" w:hAnsi="Cambria" w:cs="Adelle-SemiBold"/>
        </w:rPr>
        <w:t>.</w:t>
      </w:r>
    </w:p>
    <w:p w14:paraId="2E3C27C1" w14:textId="1B085C02" w:rsidR="006E063B" w:rsidRPr="006E063B" w:rsidRDefault="006E063B" w:rsidP="006E063B">
      <w:pPr>
        <w:autoSpaceDE w:val="0"/>
        <w:autoSpaceDN w:val="0"/>
        <w:adjustRightInd w:val="0"/>
        <w:spacing w:before="480" w:after="0" w:line="240" w:lineRule="auto"/>
        <w:jc w:val="both"/>
        <w:rPr>
          <w:rFonts w:ascii="Cambria" w:hAnsi="Cambria" w:cs="Adelle-SemiBold"/>
        </w:rPr>
      </w:pPr>
    </w:p>
    <w:sectPr w:rsidR="006E063B" w:rsidRPr="006E063B" w:rsidSect="00D21353">
      <w:footerReference w:type="default" r:id="rId10"/>
      <w:headerReference w:type="first" r:id="rId11"/>
      <w:footerReference w:type="first" r:id="rId12"/>
      <w:type w:val="continuous"/>
      <w:pgSz w:w="11900" w:h="16840" w:code="9"/>
      <w:pgMar w:top="1418" w:right="1418" w:bottom="1701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69002" w14:textId="77777777" w:rsidR="00C57812" w:rsidRDefault="00C57812" w:rsidP="00505244">
      <w:r>
        <w:separator/>
      </w:r>
    </w:p>
  </w:endnote>
  <w:endnote w:type="continuationSeparator" w:id="0">
    <w:p w14:paraId="6EECDE72" w14:textId="77777777" w:rsidR="00C57812" w:rsidRDefault="00C57812" w:rsidP="005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delle-SemiBold">
    <w:altName w:val="Cambria"/>
    <w:panose1 w:val="020B0604020202020204"/>
    <w:charset w:val="00"/>
    <w:family w:val="auto"/>
    <w:notTrueType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20D2" w14:textId="204596A0" w:rsidR="006E063B" w:rsidRPr="006E063B" w:rsidRDefault="00FB0610" w:rsidP="006E063B">
    <w:pPr>
      <w:spacing w:before="240" w:after="0" w:line="276" w:lineRule="auto"/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</w:pPr>
    <w:r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br/>
    </w:r>
    <w:r w:rsidR="006E063B" w:rsidRPr="0047295D"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t>Oddělení komunikace a vnějších vztahů</w:t>
    </w:r>
    <w:r w:rsidR="006E063B"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br/>
    </w:r>
    <w:r w:rsidR="006E063B" w:rsidRPr="0047295D">
      <w:rPr>
        <w:rFonts w:ascii="Gill Sans MT" w:hAnsi="Gill Sans MT"/>
        <w:sz w:val="16"/>
        <w:szCs w:val="16"/>
      </w:rPr>
      <w:t xml:space="preserve">Univerzita Karlova, </w:t>
    </w:r>
    <w:r w:rsidR="006E063B" w:rsidRPr="0047295D">
      <w:rPr>
        <w:rFonts w:ascii="Gill Sans MT" w:hAnsi="Gill Sans MT"/>
        <w:noProof/>
        <w:sz w:val="16"/>
        <w:szCs w:val="16"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C42F537" wp14:editId="2FC6331F">
              <wp:simplePos x="0" y="0"/>
              <wp:positionH relativeFrom="column">
                <wp:posOffset>0</wp:posOffset>
              </wp:positionH>
              <wp:positionV relativeFrom="bottomMargin">
                <wp:posOffset>144144</wp:posOffset>
              </wp:positionV>
              <wp:extent cx="5760085" cy="0"/>
              <wp:effectExtent l="0" t="0" r="0" b="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BAE41A" id="Přímá spojnice 4" o:spid="_x0000_s1026" style="position:absolute;z-index:251662336;visibility:visible;mso-wrap-style:square;mso-width-percent:0;mso-height-percent:0;mso-wrap-distance-left:9pt;mso-wrap-distance-top:.Émm;mso-wrap-distance-right:9pt;mso-wrap-distance-bottom:.Émm;mso-position-horizontal:absolute;mso-position-horizontal-relative:text;mso-position-vertical:absolute;mso-position-vertical-relative:bottom-margin-area;mso-width-percent:0;mso-height-percent:0;mso-width-relative:margin;mso-height-relative:page" from="0,11.35pt" to="453.55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" strokecolor="windowText" strokeweight=".5pt">
              <v:stroke joinstyle="miter"/>
              <o:lock v:ext="edit" shapetype="f"/>
              <w10:wrap anchory="margin"/>
            </v:line>
          </w:pict>
        </mc:Fallback>
      </mc:AlternateContent>
    </w:r>
    <w:r w:rsidR="006E063B" w:rsidRPr="0047295D">
      <w:rPr>
        <w:rFonts w:ascii="Gill Sans MT" w:hAnsi="Gill Sans MT"/>
        <w:sz w:val="16"/>
        <w:szCs w:val="16"/>
      </w:rPr>
      <w:t>Právnická</w:t>
    </w:r>
    <w:r w:rsidR="006E063B">
      <w:rPr>
        <w:rFonts w:ascii="Gill Sans MT" w:hAnsi="Gill Sans MT"/>
        <w:sz w:val="16"/>
        <w:szCs w:val="16"/>
      </w:rPr>
      <w:t xml:space="preserve"> </w:t>
    </w:r>
    <w:r w:rsidR="006E063B" w:rsidRPr="0047295D">
      <w:rPr>
        <w:rFonts w:ascii="Gill Sans MT" w:hAnsi="Gill Sans MT"/>
        <w:sz w:val="16"/>
        <w:szCs w:val="16"/>
      </w:rPr>
      <w:t>fakulta</w:t>
    </w:r>
    <w:r w:rsidR="006E063B" w:rsidRPr="0047295D">
      <w:rPr>
        <w:rFonts w:ascii="Gill Sans MT" w:hAnsi="Gill Sans MT"/>
        <w:sz w:val="16"/>
        <w:szCs w:val="16"/>
      </w:rPr>
      <w:tab/>
    </w:r>
    <w:r w:rsidR="006E063B" w:rsidRPr="0047295D">
      <w:rPr>
        <w:rFonts w:ascii="Gill Sans MT" w:hAnsi="Gill Sans MT"/>
        <w:sz w:val="16"/>
        <w:szCs w:val="16"/>
      </w:rPr>
      <w:tab/>
    </w:r>
    <w:r w:rsidR="006E063B" w:rsidRPr="0047295D">
      <w:rPr>
        <w:rFonts w:ascii="Gill Sans MT" w:hAnsi="Gill Sans MT"/>
        <w:sz w:val="16"/>
        <w:szCs w:val="16"/>
      </w:rPr>
      <w:tab/>
    </w:r>
    <w:r w:rsidR="006E063B" w:rsidRPr="0047295D">
      <w:rPr>
        <w:rFonts w:ascii="Gill Sans MT" w:hAnsi="Gill Sans MT"/>
        <w:sz w:val="16"/>
        <w:szCs w:val="16"/>
      </w:rPr>
      <w:tab/>
    </w:r>
    <w:r w:rsidR="006E063B" w:rsidRPr="0047295D">
      <w:rPr>
        <w:rFonts w:ascii="Gill Sans MT" w:hAnsi="Gill Sans MT"/>
        <w:sz w:val="16"/>
        <w:szCs w:val="16"/>
      </w:rPr>
      <w:tab/>
    </w:r>
    <w:r w:rsidR="006E063B" w:rsidRPr="0047295D">
      <w:rPr>
        <w:rFonts w:ascii="Gill Sans MT" w:hAnsi="Gill Sans MT"/>
        <w:sz w:val="16"/>
        <w:szCs w:val="16"/>
      </w:rPr>
      <w:tab/>
    </w:r>
    <w:r w:rsidR="006E063B">
      <w:rPr>
        <w:rFonts w:ascii="Gill Sans MT" w:hAnsi="Gill Sans MT"/>
        <w:sz w:val="16"/>
        <w:szCs w:val="16"/>
      </w:rPr>
      <w:tab/>
    </w:r>
    <w:r w:rsidR="006E063B" w:rsidRPr="0047295D">
      <w:rPr>
        <w:rFonts w:ascii="Gill Sans MT" w:hAnsi="Gill Sans MT"/>
        <w:sz w:val="16"/>
        <w:szCs w:val="16"/>
      </w:rPr>
      <w:t xml:space="preserve"> </w:t>
    </w:r>
    <w:r w:rsidR="006E063B"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br/>
    </w:r>
    <w:r w:rsidR="006E063B" w:rsidRPr="0047295D">
      <w:rPr>
        <w:rFonts w:ascii="Gill Sans MT" w:hAnsi="Gill Sans MT"/>
        <w:sz w:val="16"/>
        <w:szCs w:val="16"/>
      </w:rPr>
      <w:t>nám. Curieových 901/7, 116 40 Praha 1</w:t>
    </w:r>
  </w:p>
  <w:p w14:paraId="1D27004B" w14:textId="77777777" w:rsidR="006E063B" w:rsidRPr="00E56C4E" w:rsidRDefault="006E063B" w:rsidP="006E063B">
    <w:pPr>
      <w:pStyle w:val="Zpat"/>
      <w:tabs>
        <w:tab w:val="clear" w:pos="4536"/>
        <w:tab w:val="clear" w:pos="9072"/>
        <w:tab w:val="left" w:pos="6521"/>
      </w:tabs>
      <w:spacing w:line="276" w:lineRule="auto"/>
    </w:pPr>
    <w:r w:rsidRPr="0047295D">
      <w:rPr>
        <w:rFonts w:ascii="Gill Sans MT" w:hAnsi="Gill Sans MT"/>
        <w:sz w:val="16"/>
        <w:szCs w:val="16"/>
      </w:rPr>
      <w:tab/>
    </w:r>
    <w:r w:rsidRPr="0047295D">
      <w:rPr>
        <w:rFonts w:ascii="Gill Sans MT" w:hAnsi="Gill Sans MT"/>
        <w:sz w:val="16"/>
        <w:szCs w:val="16"/>
      </w:rPr>
      <w:tab/>
    </w:r>
    <w:r>
      <w:rPr>
        <w:rFonts w:ascii="Gill Sans MT" w:hAnsi="Gill Sans MT"/>
        <w:sz w:val="16"/>
      </w:rPr>
      <w:tab/>
    </w:r>
    <w:r w:rsidRPr="00AD60D0">
      <w:rPr>
        <w:rFonts w:ascii="Gill Sans MT" w:hAnsi="Gill Sans MT"/>
        <w:sz w:val="16"/>
      </w:rPr>
      <w:tab/>
    </w:r>
  </w:p>
  <w:p w14:paraId="03F7A674" w14:textId="77777777" w:rsidR="006E063B" w:rsidRDefault="006E06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C632" w14:textId="0B1A68EF" w:rsidR="006E063B" w:rsidRPr="006E063B" w:rsidRDefault="006E063B" w:rsidP="006E063B">
    <w:pPr>
      <w:spacing w:before="240" w:after="0" w:line="276" w:lineRule="auto"/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</w:pPr>
    <w:r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br/>
    </w:r>
    <w:r w:rsidRPr="0047295D"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t>Oddělení komunikace a vnějších vztahů</w:t>
    </w:r>
    <w:r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br/>
    </w:r>
    <w:r w:rsidRPr="0047295D">
      <w:rPr>
        <w:rFonts w:ascii="Gill Sans MT" w:hAnsi="Gill Sans MT"/>
        <w:sz w:val="16"/>
        <w:szCs w:val="16"/>
      </w:rPr>
      <w:t xml:space="preserve">Univerzita Karlova, </w:t>
    </w:r>
    <w:r w:rsidRPr="0047295D">
      <w:rPr>
        <w:rFonts w:ascii="Gill Sans MT" w:hAnsi="Gill Sans MT"/>
        <w:noProof/>
        <w:sz w:val="16"/>
        <w:szCs w:val="16"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6EE7756" wp14:editId="35650A84">
              <wp:simplePos x="0" y="0"/>
              <wp:positionH relativeFrom="column">
                <wp:posOffset>0</wp:posOffset>
              </wp:positionH>
              <wp:positionV relativeFrom="bottomMargin">
                <wp:posOffset>144144</wp:posOffset>
              </wp:positionV>
              <wp:extent cx="5760085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00DA04" id="Přímá spojnice 1" o:spid="_x0000_s1026" style="position:absolute;z-index:251660288;visibility:visible;mso-wrap-style:square;mso-width-percent:0;mso-height-percent:0;mso-wrap-distance-left:9pt;mso-wrap-distance-top:.Émm;mso-wrap-distance-right:9pt;mso-wrap-distance-bottom:.Émm;mso-position-horizontal:absolute;mso-position-horizontal-relative:text;mso-position-vertical:absolute;mso-position-vertical-relative:bottom-margin-area;mso-width-percent:0;mso-height-percent:0;mso-width-relative:margin;mso-height-relative:page" from="0,11.35pt" to="453.55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" strokecolor="windowText" strokeweight=".5pt">
              <v:stroke joinstyle="miter"/>
              <o:lock v:ext="edit" shapetype="f"/>
              <w10:wrap anchory="margin"/>
            </v:line>
          </w:pict>
        </mc:Fallback>
      </mc:AlternateContent>
    </w:r>
    <w:r w:rsidRPr="0047295D">
      <w:rPr>
        <w:rFonts w:ascii="Gill Sans MT" w:hAnsi="Gill Sans MT"/>
        <w:sz w:val="16"/>
        <w:szCs w:val="16"/>
      </w:rPr>
      <w:t>Právnická</w:t>
    </w:r>
    <w:r>
      <w:rPr>
        <w:rFonts w:ascii="Gill Sans MT" w:hAnsi="Gill Sans MT"/>
        <w:sz w:val="16"/>
        <w:szCs w:val="16"/>
      </w:rPr>
      <w:t xml:space="preserve"> </w:t>
    </w:r>
    <w:r w:rsidRPr="0047295D">
      <w:rPr>
        <w:rFonts w:ascii="Gill Sans MT" w:hAnsi="Gill Sans MT"/>
        <w:sz w:val="16"/>
        <w:szCs w:val="16"/>
      </w:rPr>
      <w:t>fakulta</w:t>
    </w:r>
    <w:r w:rsidRPr="0047295D">
      <w:rPr>
        <w:rFonts w:ascii="Gill Sans MT" w:hAnsi="Gill Sans MT"/>
        <w:sz w:val="16"/>
        <w:szCs w:val="16"/>
      </w:rPr>
      <w:tab/>
    </w:r>
    <w:r w:rsidRPr="0047295D">
      <w:rPr>
        <w:rFonts w:ascii="Gill Sans MT" w:hAnsi="Gill Sans MT"/>
        <w:sz w:val="16"/>
        <w:szCs w:val="16"/>
      </w:rPr>
      <w:tab/>
    </w:r>
    <w:r w:rsidRPr="0047295D">
      <w:rPr>
        <w:rFonts w:ascii="Gill Sans MT" w:hAnsi="Gill Sans MT"/>
        <w:sz w:val="16"/>
        <w:szCs w:val="16"/>
      </w:rPr>
      <w:tab/>
    </w:r>
    <w:r w:rsidRPr="0047295D">
      <w:rPr>
        <w:rFonts w:ascii="Gill Sans MT" w:hAnsi="Gill Sans MT"/>
        <w:sz w:val="16"/>
        <w:szCs w:val="16"/>
      </w:rPr>
      <w:tab/>
    </w:r>
    <w:r w:rsidRPr="0047295D">
      <w:rPr>
        <w:rFonts w:ascii="Gill Sans MT" w:hAnsi="Gill Sans MT"/>
        <w:sz w:val="16"/>
        <w:szCs w:val="16"/>
      </w:rPr>
      <w:tab/>
    </w:r>
    <w:r w:rsidRPr="0047295D">
      <w:rPr>
        <w:rFonts w:ascii="Gill Sans MT" w:hAnsi="Gill Sans MT"/>
        <w:sz w:val="16"/>
        <w:szCs w:val="16"/>
      </w:rPr>
      <w:tab/>
    </w:r>
    <w:r>
      <w:rPr>
        <w:rFonts w:ascii="Gill Sans MT" w:hAnsi="Gill Sans MT"/>
        <w:sz w:val="16"/>
        <w:szCs w:val="16"/>
      </w:rPr>
      <w:tab/>
    </w:r>
    <w:r w:rsidRPr="0047295D">
      <w:rPr>
        <w:rFonts w:ascii="Gill Sans MT" w:hAnsi="Gill Sans MT"/>
        <w:sz w:val="16"/>
        <w:szCs w:val="16"/>
      </w:rPr>
      <w:t xml:space="preserve"> </w:t>
    </w:r>
    <w:r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br/>
    </w:r>
    <w:r w:rsidRPr="0047295D">
      <w:rPr>
        <w:rFonts w:ascii="Gill Sans MT" w:hAnsi="Gill Sans MT"/>
        <w:sz w:val="16"/>
        <w:szCs w:val="16"/>
      </w:rPr>
      <w:t>nám. Curieových 901/7, 116 40 Praha 1</w:t>
    </w:r>
  </w:p>
  <w:p w14:paraId="6032D60E" w14:textId="6B42D024" w:rsidR="0003292A" w:rsidRPr="00E56C4E" w:rsidRDefault="0047295D" w:rsidP="006E063B">
    <w:pPr>
      <w:pStyle w:val="Zpat"/>
      <w:tabs>
        <w:tab w:val="clear" w:pos="4536"/>
        <w:tab w:val="clear" w:pos="9072"/>
        <w:tab w:val="left" w:pos="6521"/>
      </w:tabs>
      <w:spacing w:line="276" w:lineRule="auto"/>
    </w:pPr>
    <w:r w:rsidRPr="0047295D">
      <w:rPr>
        <w:rFonts w:ascii="Gill Sans MT" w:hAnsi="Gill Sans MT"/>
        <w:sz w:val="16"/>
        <w:szCs w:val="16"/>
      </w:rPr>
      <w:tab/>
    </w:r>
    <w:r w:rsidRPr="0047295D">
      <w:rPr>
        <w:rFonts w:ascii="Gill Sans MT" w:hAnsi="Gill Sans MT"/>
        <w:sz w:val="16"/>
        <w:szCs w:val="16"/>
      </w:rPr>
      <w:tab/>
    </w:r>
    <w:r w:rsidR="00DB23EF">
      <w:rPr>
        <w:rFonts w:ascii="Gill Sans MT" w:hAnsi="Gill Sans MT"/>
        <w:sz w:val="16"/>
      </w:rPr>
      <w:tab/>
    </w:r>
    <w:r w:rsidR="006415FF" w:rsidRPr="00AD60D0">
      <w:rPr>
        <w:rFonts w:ascii="Gill Sans MT" w:hAnsi="Gill Sans MT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CA8C" w14:textId="77777777" w:rsidR="00C57812" w:rsidRDefault="00C57812" w:rsidP="00505244">
      <w:r>
        <w:separator/>
      </w:r>
    </w:p>
  </w:footnote>
  <w:footnote w:type="continuationSeparator" w:id="0">
    <w:p w14:paraId="0BE85027" w14:textId="77777777" w:rsidR="00C57812" w:rsidRDefault="00C57812" w:rsidP="0050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58B2" w14:textId="25301346" w:rsidR="00B9724B" w:rsidRPr="00B019AA" w:rsidRDefault="002E458B" w:rsidP="002E458B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602685" wp14:editId="358BD253">
          <wp:simplePos x="0" y="0"/>
          <wp:positionH relativeFrom="column">
            <wp:posOffset>-555675</wp:posOffset>
          </wp:positionH>
          <wp:positionV relativeFrom="paragraph">
            <wp:posOffset>-188671</wp:posOffset>
          </wp:positionV>
          <wp:extent cx="6828925" cy="837794"/>
          <wp:effectExtent l="0" t="0" r="3810" b="635"/>
          <wp:wrapThrough wrapText="bothSides">
            <wp:wrapPolygon edited="0">
              <wp:start x="0" y="0"/>
              <wp:lineTo x="0" y="21289"/>
              <wp:lineTo x="21572" y="21289"/>
              <wp:lineTo x="21572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8925" cy="837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D2CDF"/>
    <w:multiLevelType w:val="singleLevel"/>
    <w:tmpl w:val="24B0E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B8912B3"/>
    <w:multiLevelType w:val="hybridMultilevel"/>
    <w:tmpl w:val="27AE8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22813">
    <w:abstractNumId w:val="0"/>
  </w:num>
  <w:num w:numId="2" w16cid:durableId="1474982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EF"/>
    <w:rsid w:val="000104F8"/>
    <w:rsid w:val="00025466"/>
    <w:rsid w:val="00027153"/>
    <w:rsid w:val="0003292A"/>
    <w:rsid w:val="000342DD"/>
    <w:rsid w:val="00045EEC"/>
    <w:rsid w:val="00064AB3"/>
    <w:rsid w:val="00071FBC"/>
    <w:rsid w:val="00093350"/>
    <w:rsid w:val="000B5E4A"/>
    <w:rsid w:val="0010698E"/>
    <w:rsid w:val="00116B95"/>
    <w:rsid w:val="00123535"/>
    <w:rsid w:val="001765B6"/>
    <w:rsid w:val="00192002"/>
    <w:rsid w:val="00192427"/>
    <w:rsid w:val="001A5368"/>
    <w:rsid w:val="001B18F8"/>
    <w:rsid w:val="001B6A5B"/>
    <w:rsid w:val="001C5181"/>
    <w:rsid w:val="001F1773"/>
    <w:rsid w:val="001F4351"/>
    <w:rsid w:val="00200312"/>
    <w:rsid w:val="002069FD"/>
    <w:rsid w:val="002173E3"/>
    <w:rsid w:val="002275A2"/>
    <w:rsid w:val="00236E92"/>
    <w:rsid w:val="002439F2"/>
    <w:rsid w:val="002614ED"/>
    <w:rsid w:val="002671F5"/>
    <w:rsid w:val="002835B7"/>
    <w:rsid w:val="00286036"/>
    <w:rsid w:val="002A68E8"/>
    <w:rsid w:val="002B3721"/>
    <w:rsid w:val="002E3E55"/>
    <w:rsid w:val="002E458B"/>
    <w:rsid w:val="002F57D1"/>
    <w:rsid w:val="00306FF2"/>
    <w:rsid w:val="00332C55"/>
    <w:rsid w:val="00332D86"/>
    <w:rsid w:val="00337D01"/>
    <w:rsid w:val="00356983"/>
    <w:rsid w:val="00370125"/>
    <w:rsid w:val="00373AB6"/>
    <w:rsid w:val="00374061"/>
    <w:rsid w:val="00380DD0"/>
    <w:rsid w:val="00382058"/>
    <w:rsid w:val="003B0A2D"/>
    <w:rsid w:val="003C40D6"/>
    <w:rsid w:val="003C5EC7"/>
    <w:rsid w:val="003D51EB"/>
    <w:rsid w:val="003D62CF"/>
    <w:rsid w:val="003D70E9"/>
    <w:rsid w:val="003E18FD"/>
    <w:rsid w:val="003F04E1"/>
    <w:rsid w:val="003F3B24"/>
    <w:rsid w:val="00401238"/>
    <w:rsid w:val="00402DE8"/>
    <w:rsid w:val="004224C2"/>
    <w:rsid w:val="0042430D"/>
    <w:rsid w:val="00442C21"/>
    <w:rsid w:val="0047295D"/>
    <w:rsid w:val="00486B5C"/>
    <w:rsid w:val="004D1FA5"/>
    <w:rsid w:val="004D50F0"/>
    <w:rsid w:val="004E1EE0"/>
    <w:rsid w:val="004E226A"/>
    <w:rsid w:val="00505244"/>
    <w:rsid w:val="005244C7"/>
    <w:rsid w:val="00532FA5"/>
    <w:rsid w:val="00547F8F"/>
    <w:rsid w:val="00555410"/>
    <w:rsid w:val="00560D37"/>
    <w:rsid w:val="005622FD"/>
    <w:rsid w:val="005C109F"/>
    <w:rsid w:val="005C7016"/>
    <w:rsid w:val="005D7F0B"/>
    <w:rsid w:val="006014AE"/>
    <w:rsid w:val="006126A3"/>
    <w:rsid w:val="006415FF"/>
    <w:rsid w:val="0065782B"/>
    <w:rsid w:val="00673BB7"/>
    <w:rsid w:val="0069178F"/>
    <w:rsid w:val="006966D1"/>
    <w:rsid w:val="00697A4B"/>
    <w:rsid w:val="006A2012"/>
    <w:rsid w:val="006B413A"/>
    <w:rsid w:val="006C3EAE"/>
    <w:rsid w:val="006C5998"/>
    <w:rsid w:val="006E063B"/>
    <w:rsid w:val="006E167F"/>
    <w:rsid w:val="006E64A2"/>
    <w:rsid w:val="006F2435"/>
    <w:rsid w:val="00703C4C"/>
    <w:rsid w:val="00720D63"/>
    <w:rsid w:val="00746240"/>
    <w:rsid w:val="00785BE1"/>
    <w:rsid w:val="00792FB9"/>
    <w:rsid w:val="007A2FC0"/>
    <w:rsid w:val="007C16E0"/>
    <w:rsid w:val="007C52C8"/>
    <w:rsid w:val="007E680F"/>
    <w:rsid w:val="007E79B8"/>
    <w:rsid w:val="008020A8"/>
    <w:rsid w:val="0080641B"/>
    <w:rsid w:val="00816EF6"/>
    <w:rsid w:val="00817DE6"/>
    <w:rsid w:val="00826FD8"/>
    <w:rsid w:val="008361BD"/>
    <w:rsid w:val="008363F5"/>
    <w:rsid w:val="00844245"/>
    <w:rsid w:val="00865D69"/>
    <w:rsid w:val="00883426"/>
    <w:rsid w:val="00890731"/>
    <w:rsid w:val="008B0562"/>
    <w:rsid w:val="008E0437"/>
    <w:rsid w:val="009034E1"/>
    <w:rsid w:val="00916D3C"/>
    <w:rsid w:val="00920A51"/>
    <w:rsid w:val="009216B1"/>
    <w:rsid w:val="00925DFA"/>
    <w:rsid w:val="00931173"/>
    <w:rsid w:val="00933F86"/>
    <w:rsid w:val="00941819"/>
    <w:rsid w:val="00961901"/>
    <w:rsid w:val="00981466"/>
    <w:rsid w:val="00983B63"/>
    <w:rsid w:val="00984FCF"/>
    <w:rsid w:val="009928AE"/>
    <w:rsid w:val="009A0753"/>
    <w:rsid w:val="009A2D94"/>
    <w:rsid w:val="009D0505"/>
    <w:rsid w:val="009D5B9C"/>
    <w:rsid w:val="009F13F2"/>
    <w:rsid w:val="00A0694A"/>
    <w:rsid w:val="00A13B06"/>
    <w:rsid w:val="00A200B6"/>
    <w:rsid w:val="00A27E05"/>
    <w:rsid w:val="00A46A10"/>
    <w:rsid w:val="00A50E1A"/>
    <w:rsid w:val="00A73048"/>
    <w:rsid w:val="00A92EAE"/>
    <w:rsid w:val="00AB4FD4"/>
    <w:rsid w:val="00AC0E3D"/>
    <w:rsid w:val="00AC6C40"/>
    <w:rsid w:val="00AD60D0"/>
    <w:rsid w:val="00AF38B7"/>
    <w:rsid w:val="00B019AA"/>
    <w:rsid w:val="00B02AD6"/>
    <w:rsid w:val="00B04A2E"/>
    <w:rsid w:val="00B14F7D"/>
    <w:rsid w:val="00B20B1A"/>
    <w:rsid w:val="00B24002"/>
    <w:rsid w:val="00B45996"/>
    <w:rsid w:val="00B9724B"/>
    <w:rsid w:val="00BA4A12"/>
    <w:rsid w:val="00BB56CC"/>
    <w:rsid w:val="00BC6645"/>
    <w:rsid w:val="00BE2679"/>
    <w:rsid w:val="00BE42DF"/>
    <w:rsid w:val="00BE55B1"/>
    <w:rsid w:val="00BF4D99"/>
    <w:rsid w:val="00C07590"/>
    <w:rsid w:val="00C30775"/>
    <w:rsid w:val="00C40674"/>
    <w:rsid w:val="00C524C1"/>
    <w:rsid w:val="00C53F37"/>
    <w:rsid w:val="00C57812"/>
    <w:rsid w:val="00C63517"/>
    <w:rsid w:val="00C666AA"/>
    <w:rsid w:val="00C77945"/>
    <w:rsid w:val="00C811AF"/>
    <w:rsid w:val="00C906FD"/>
    <w:rsid w:val="00CA2A3C"/>
    <w:rsid w:val="00CA767B"/>
    <w:rsid w:val="00CB05F9"/>
    <w:rsid w:val="00CB76FE"/>
    <w:rsid w:val="00CB78BB"/>
    <w:rsid w:val="00CC786B"/>
    <w:rsid w:val="00D1297D"/>
    <w:rsid w:val="00D15B92"/>
    <w:rsid w:val="00D21353"/>
    <w:rsid w:val="00D27C79"/>
    <w:rsid w:val="00D40077"/>
    <w:rsid w:val="00D543C6"/>
    <w:rsid w:val="00D670FE"/>
    <w:rsid w:val="00D71B2D"/>
    <w:rsid w:val="00D9709D"/>
    <w:rsid w:val="00DA5E60"/>
    <w:rsid w:val="00DA7A66"/>
    <w:rsid w:val="00DB23EF"/>
    <w:rsid w:val="00DC46DB"/>
    <w:rsid w:val="00DD11CD"/>
    <w:rsid w:val="00DD2211"/>
    <w:rsid w:val="00DE2224"/>
    <w:rsid w:val="00DE4484"/>
    <w:rsid w:val="00E01583"/>
    <w:rsid w:val="00E31CC0"/>
    <w:rsid w:val="00E356DE"/>
    <w:rsid w:val="00E40485"/>
    <w:rsid w:val="00E56C4E"/>
    <w:rsid w:val="00E67CA4"/>
    <w:rsid w:val="00E712AE"/>
    <w:rsid w:val="00E91C1B"/>
    <w:rsid w:val="00E92951"/>
    <w:rsid w:val="00EB361B"/>
    <w:rsid w:val="00ED213E"/>
    <w:rsid w:val="00F51641"/>
    <w:rsid w:val="00F815F2"/>
    <w:rsid w:val="00F92EBC"/>
    <w:rsid w:val="00FA1F6F"/>
    <w:rsid w:val="00FB0610"/>
    <w:rsid w:val="00FB7586"/>
    <w:rsid w:val="00FE7C55"/>
    <w:rsid w:val="00FF068B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C6A34"/>
  <w15:docId w15:val="{A98A2EDC-5485-4629-8C7D-A6EB2B6A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3EF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link w:val="DatumChar"/>
    <w:uiPriority w:val="3"/>
    <w:qFormat/>
    <w:rsid w:val="00E31CC0"/>
    <w:pPr>
      <w:spacing w:after="120" w:line="240" w:lineRule="auto"/>
      <w:jc w:val="both"/>
    </w:pPr>
    <w:rPr>
      <w:rFonts w:ascii="Cambria" w:eastAsia="Calibri" w:hAnsi="Cambria" w:cs="Times New Roman"/>
      <w:b/>
      <w:spacing w:val="21"/>
    </w:rPr>
  </w:style>
  <w:style w:type="character" w:customStyle="1" w:styleId="DatumChar">
    <w:name w:val="Datum Char"/>
    <w:basedOn w:val="Standardnpsmoodstavce"/>
    <w:link w:val="Datum"/>
    <w:uiPriority w:val="3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styleId="Osloven">
    <w:name w:val="Salutation"/>
    <w:basedOn w:val="Normln"/>
    <w:next w:val="Normln"/>
    <w:link w:val="OslovenChar"/>
    <w:uiPriority w:val="5"/>
    <w:qFormat/>
    <w:rsid w:val="00E31CC0"/>
    <w:pPr>
      <w:spacing w:before="800" w:after="120" w:line="276" w:lineRule="auto"/>
      <w:contextualSpacing/>
      <w:jc w:val="both"/>
    </w:pPr>
    <w:rPr>
      <w:rFonts w:ascii="Cambria" w:eastAsia="Calibri" w:hAnsi="Cambria" w:cs="Times New Roman"/>
      <w:b/>
      <w:spacing w:val="21"/>
    </w:rPr>
  </w:style>
  <w:style w:type="character" w:customStyle="1" w:styleId="OslovenChar">
    <w:name w:val="Oslovení Char"/>
    <w:basedOn w:val="Standardnpsmoodstavce"/>
    <w:link w:val="Osloven"/>
    <w:uiPriority w:val="5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customStyle="1" w:styleId="Jmno">
    <w:name w:val="Jméno"/>
    <w:basedOn w:val="Normln"/>
    <w:link w:val="JmnoChar"/>
    <w:uiPriority w:val="1"/>
    <w:qFormat/>
    <w:rsid w:val="00E31CC0"/>
    <w:pPr>
      <w:spacing w:after="120" w:line="240" w:lineRule="auto"/>
      <w:contextualSpacing/>
      <w:jc w:val="both"/>
    </w:pPr>
    <w:rPr>
      <w:rFonts w:ascii="Cambria" w:eastAsia="Calibri" w:hAnsi="Cambria" w:cs="Times New Roman"/>
      <w:b/>
      <w:caps/>
      <w:spacing w:val="21"/>
      <w:sz w:val="36"/>
    </w:rPr>
  </w:style>
  <w:style w:type="character" w:customStyle="1" w:styleId="JmnoChar">
    <w:name w:val="Jméno Char"/>
    <w:basedOn w:val="Standardnpsmoodstavce"/>
    <w:link w:val="Jmno"/>
    <w:uiPriority w:val="1"/>
    <w:rsid w:val="00E31CC0"/>
    <w:rPr>
      <w:b/>
      <w:caps/>
      <w:color w:val="44546A" w:themeColor="text2"/>
      <w:spacing w:val="21"/>
      <w:sz w:val="36"/>
      <w:szCs w:val="22"/>
      <w:lang w:eastAsia="ja-JP" w:bidi="cs-CZ"/>
    </w:rPr>
  </w:style>
  <w:style w:type="paragraph" w:customStyle="1" w:styleId="Adresa">
    <w:name w:val="Adresa"/>
    <w:basedOn w:val="Normln"/>
    <w:link w:val="AdresaChar"/>
    <w:uiPriority w:val="4"/>
    <w:qFormat/>
    <w:rsid w:val="00E31CC0"/>
    <w:pPr>
      <w:spacing w:after="120" w:line="240" w:lineRule="auto"/>
      <w:contextualSpacing/>
      <w:jc w:val="both"/>
    </w:pPr>
    <w:rPr>
      <w:rFonts w:ascii="Cambria" w:eastAsia="Calibri" w:hAnsi="Cambria" w:cs="Times New Roman"/>
    </w:rPr>
  </w:style>
  <w:style w:type="character" w:customStyle="1" w:styleId="AdresaChar">
    <w:name w:val="Adresa Char"/>
    <w:basedOn w:val="Standardnpsmoodstavce"/>
    <w:link w:val="Adresa"/>
    <w:uiPriority w:val="4"/>
    <w:rsid w:val="00E31CC0"/>
    <w:rPr>
      <w:color w:val="44546A" w:themeColor="text2"/>
      <w:sz w:val="22"/>
      <w:szCs w:val="22"/>
      <w:lang w:eastAsia="ja-JP" w:bidi="cs-CZ"/>
    </w:rPr>
  </w:style>
  <w:style w:type="paragraph" w:styleId="Zhlav">
    <w:name w:val="header"/>
    <w:basedOn w:val="Normln"/>
    <w:link w:val="Zhlav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  <w:jc w:val="both"/>
    </w:pPr>
    <w:rPr>
      <w:rFonts w:ascii="Cambria" w:eastAsia="Calibri" w:hAnsi="Cambria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Zpat">
    <w:name w:val="footer"/>
    <w:basedOn w:val="Normln"/>
    <w:link w:val="Zpat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  <w:jc w:val="both"/>
    </w:pPr>
    <w:rPr>
      <w:rFonts w:ascii="Cambria" w:eastAsia="Calibri" w:hAnsi="Cambria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2DD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DD"/>
    <w:rPr>
      <w:rFonts w:ascii="Tahoma" w:hAnsi="Tahoma" w:cs="Tahoma"/>
      <w:color w:val="44546A" w:themeColor="text2"/>
      <w:sz w:val="16"/>
      <w:szCs w:val="16"/>
      <w:lang w:eastAsia="ja-JP" w:bidi="cs-CZ"/>
    </w:rPr>
  </w:style>
  <w:style w:type="table" w:styleId="Mkatabulky">
    <w:name w:val="Table Grid"/>
    <w:basedOn w:val="Normlntabulka"/>
    <w:uiPriority w:val="39"/>
    <w:unhideWhenUsed/>
    <w:rsid w:val="00A2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B23E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B23E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B23EF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2546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B05F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25D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5D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5D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5D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5DFA"/>
    <w:rPr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rsid w:val="002E458B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6E0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f.cuni.cz/sites/default/files/uploads/files/HUB_studie_Jak%20zleps%CC%8Cit%20vy%CC%81be%CC%8Cr%20poku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rf.cuni.cz/katedra-narodniho-hospodarstvi/legal-data-hu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B5DC-D319-48C6-9875-3CFA5870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4348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Petra.Sojkova@czcuni.onmicrosoft.com</dc:creator>
  <cp:lastModifiedBy>Petra Sojková Machoňová</cp:lastModifiedBy>
  <cp:revision>2</cp:revision>
  <cp:lastPrinted>2019-10-03T11:50:00Z</cp:lastPrinted>
  <dcterms:created xsi:type="dcterms:W3CDTF">2023-04-27T13:03:00Z</dcterms:created>
  <dcterms:modified xsi:type="dcterms:W3CDTF">2023-04-27T13:03:00Z</dcterms:modified>
</cp:coreProperties>
</file>