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40781" w14:textId="4A0B0369" w:rsidR="002D3BC7" w:rsidRPr="003F79C7" w:rsidRDefault="003F79C7" w:rsidP="002D3B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79C7">
        <w:rPr>
          <w:rFonts w:ascii="Times New Roman" w:hAnsi="Times New Roman" w:cs="Times New Roman"/>
          <w:b/>
          <w:bCs/>
          <w:sz w:val="24"/>
          <w:szCs w:val="24"/>
          <w:u w:val="single"/>
        </w:rPr>
        <w:t>KLP 4/2024</w:t>
      </w:r>
      <w:r w:rsidR="004D1E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F79C7">
        <w:rPr>
          <w:rFonts w:ascii="Times New Roman" w:hAnsi="Times New Roman" w:cs="Times New Roman"/>
          <w:b/>
          <w:bCs/>
          <w:sz w:val="24"/>
          <w:szCs w:val="24"/>
          <w:u w:val="single"/>
        </w:rPr>
        <w:t>– řešení:</w:t>
      </w:r>
    </w:p>
    <w:p w14:paraId="2100A0AE" w14:textId="4E3F1DCA" w:rsidR="00482640" w:rsidRDefault="00482640" w:rsidP="00482640">
      <w:pPr>
        <w:jc w:val="both"/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 xml:space="preserve">1. </w:t>
      </w:r>
      <w:r w:rsidR="00A96FBF">
        <w:rPr>
          <w:rFonts w:ascii="Times New Roman" w:hAnsi="Times New Roman" w:cs="Times New Roman"/>
          <w:sz w:val="24"/>
          <w:szCs w:val="24"/>
        </w:rPr>
        <w:t xml:space="preserve">Mohl se </w:t>
      </w:r>
      <w:r>
        <w:rPr>
          <w:rFonts w:ascii="Times New Roman" w:hAnsi="Times New Roman" w:cs="Times New Roman"/>
          <w:sz w:val="24"/>
          <w:szCs w:val="24"/>
        </w:rPr>
        <w:t xml:space="preserve">Karel Novák </w:t>
      </w:r>
      <w:r w:rsidR="00A96FBF">
        <w:rPr>
          <w:rFonts w:ascii="Times New Roman" w:hAnsi="Times New Roman" w:cs="Times New Roman"/>
          <w:sz w:val="24"/>
          <w:szCs w:val="24"/>
        </w:rPr>
        <w:t xml:space="preserve">neslušným jednáním k oprávněné úřední osobě během ústního jednání </w:t>
      </w:r>
      <w:r w:rsidRPr="00DD4DEE">
        <w:rPr>
          <w:rFonts w:ascii="Times New Roman" w:hAnsi="Times New Roman" w:cs="Times New Roman"/>
          <w:sz w:val="24"/>
          <w:szCs w:val="24"/>
        </w:rPr>
        <w:t>dopusti</w:t>
      </w:r>
      <w:r w:rsidR="000F5C0B">
        <w:rPr>
          <w:rFonts w:ascii="Times New Roman" w:hAnsi="Times New Roman" w:cs="Times New Roman"/>
          <w:sz w:val="24"/>
          <w:szCs w:val="24"/>
        </w:rPr>
        <w:t>t</w:t>
      </w:r>
      <w:r w:rsidRPr="00DD4DEE">
        <w:rPr>
          <w:rFonts w:ascii="Times New Roman" w:hAnsi="Times New Roman" w:cs="Times New Roman"/>
          <w:sz w:val="24"/>
          <w:szCs w:val="24"/>
        </w:rPr>
        <w:t xml:space="preserve"> nějakého přestupku?  </w:t>
      </w:r>
    </w:p>
    <w:p w14:paraId="3020EB42" w14:textId="3E63B235" w:rsidR="00A96FBF" w:rsidRPr="00A96FBF" w:rsidRDefault="00A96FBF" w:rsidP="0048264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6FBF">
        <w:rPr>
          <w:rFonts w:ascii="Times New Roman" w:hAnsi="Times New Roman" w:cs="Times New Roman"/>
          <w:color w:val="FF0000"/>
          <w:sz w:val="24"/>
          <w:szCs w:val="24"/>
        </w:rPr>
        <w:t xml:space="preserve">Ano, popsaným jednáním </w:t>
      </w:r>
      <w:r w:rsidR="000F5C0B">
        <w:rPr>
          <w:rFonts w:ascii="Times New Roman" w:hAnsi="Times New Roman" w:cs="Times New Roman"/>
          <w:color w:val="FF0000"/>
          <w:sz w:val="24"/>
          <w:szCs w:val="24"/>
        </w:rPr>
        <w:t xml:space="preserve">mohl spáchat přestupek </w:t>
      </w:r>
      <w:r w:rsidRPr="00A96FBF">
        <w:rPr>
          <w:rFonts w:ascii="Times New Roman" w:hAnsi="Times New Roman" w:cs="Times New Roman"/>
          <w:color w:val="FF0000"/>
          <w:sz w:val="24"/>
          <w:szCs w:val="24"/>
        </w:rPr>
        <w:t>znevážení postavení úřední osoby při výkonu její pravomoci dle § 5 odst. 1 písm. b) zákona č. 251/2016 Sb.</w:t>
      </w:r>
      <w:r>
        <w:rPr>
          <w:rFonts w:ascii="Times New Roman" w:hAnsi="Times New Roman" w:cs="Times New Roman"/>
          <w:color w:val="FF0000"/>
          <w:sz w:val="24"/>
          <w:szCs w:val="24"/>
        </w:rPr>
        <w:t>, o některých přestupcích.</w:t>
      </w:r>
    </w:p>
    <w:p w14:paraId="79EE17B8" w14:textId="77777777" w:rsidR="00D134AB" w:rsidRDefault="00D134AB" w:rsidP="00233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238E">
        <w:rPr>
          <w:rFonts w:ascii="Times New Roman" w:hAnsi="Times New Roman" w:cs="Times New Roman"/>
          <w:sz w:val="24"/>
          <w:szCs w:val="24"/>
        </w:rPr>
        <w:t xml:space="preserve">Pokud by </w:t>
      </w:r>
      <w:r w:rsidR="002A113E">
        <w:rPr>
          <w:rFonts w:ascii="Times New Roman" w:hAnsi="Times New Roman" w:cs="Times New Roman"/>
          <w:sz w:val="24"/>
          <w:szCs w:val="24"/>
        </w:rPr>
        <w:t xml:space="preserve">se ukázalo, že svědek Jan Müller ve své výpovědi úmyslně uváděl nepravdivá tvrzení, mohl by se takovým jednáním dopustit nějakého přestupku? </w:t>
      </w:r>
    </w:p>
    <w:p w14:paraId="3E10D864" w14:textId="77777777" w:rsidR="00D134AB" w:rsidRPr="0088238E" w:rsidRDefault="00D134AB" w:rsidP="0023367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238E">
        <w:rPr>
          <w:rFonts w:ascii="Times New Roman" w:hAnsi="Times New Roman" w:cs="Times New Roman"/>
          <w:color w:val="FF0000"/>
          <w:sz w:val="24"/>
          <w:szCs w:val="24"/>
        </w:rPr>
        <w:t xml:space="preserve">Ano, </w:t>
      </w:r>
      <w:r w:rsidR="002A113E">
        <w:rPr>
          <w:rFonts w:ascii="Times New Roman" w:hAnsi="Times New Roman" w:cs="Times New Roman"/>
          <w:color w:val="FF0000"/>
          <w:sz w:val="24"/>
          <w:szCs w:val="24"/>
        </w:rPr>
        <w:t>svědek by popsaným jednáním mohl spáchat přestupek podání nepravdivé nebo neúplné svědecké výpovědi ve správním řízení dle § 2 odst. 2 písm. e) zákona č. 251/2016 Sb., o některých přestupcích.</w:t>
      </w:r>
    </w:p>
    <w:p w14:paraId="274A598F" w14:textId="77777777" w:rsidR="00233672" w:rsidRDefault="00D134AB" w:rsidP="00233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3672" w:rsidRPr="00DD4DEE">
        <w:rPr>
          <w:rFonts w:ascii="Times New Roman" w:hAnsi="Times New Roman" w:cs="Times New Roman"/>
          <w:sz w:val="24"/>
          <w:szCs w:val="24"/>
        </w:rPr>
        <w:t xml:space="preserve">. </w:t>
      </w:r>
      <w:r w:rsidR="00233672">
        <w:rPr>
          <w:rFonts w:ascii="Times New Roman" w:hAnsi="Times New Roman" w:cs="Times New Roman"/>
          <w:sz w:val="24"/>
          <w:szCs w:val="24"/>
        </w:rPr>
        <w:t>Pokud by Karel Novák podal námitku podjatosti úřední osoby z toho důvodu, že si tyká se svědkem Janem Müllerem, mohla by taková námitka být úspěšná? Při odpovědi vycházejte z toho, že tvrzení ohledně jejich znalosti pouze podle vidění z chodby základní školy je pravdivé.</w:t>
      </w:r>
    </w:p>
    <w:p w14:paraId="6A5A85A2" w14:textId="0C7CF75B" w:rsidR="00233672" w:rsidRPr="00CA36E6" w:rsidRDefault="00233672" w:rsidP="0048264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36E6">
        <w:rPr>
          <w:rFonts w:ascii="Times New Roman" w:hAnsi="Times New Roman" w:cs="Times New Roman"/>
          <w:color w:val="FF0000"/>
          <w:sz w:val="24"/>
          <w:szCs w:val="24"/>
        </w:rPr>
        <w:t xml:space="preserve">Námitka podjatosti dle § 14 odst. 3 zákona č. 500/2004 Sb., správní řád, </w:t>
      </w:r>
      <w:r w:rsidR="00CA36E6" w:rsidRPr="00CA36E6">
        <w:rPr>
          <w:rFonts w:ascii="Times New Roman" w:hAnsi="Times New Roman" w:cs="Times New Roman"/>
          <w:color w:val="FF0000"/>
          <w:sz w:val="24"/>
          <w:szCs w:val="24"/>
        </w:rPr>
        <w:t xml:space="preserve">by nebyla úspěšná, jelikož kromě tykání by se muselo dále prokázat, že </w:t>
      </w:r>
      <w:r w:rsidR="001A2947">
        <w:rPr>
          <w:rFonts w:ascii="Times New Roman" w:hAnsi="Times New Roman" w:cs="Times New Roman"/>
          <w:color w:val="FF0000"/>
          <w:sz w:val="24"/>
          <w:szCs w:val="24"/>
        </w:rPr>
        <w:t>obě osoby</w:t>
      </w:r>
      <w:r w:rsidR="00CA36E6" w:rsidRPr="00CA36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36E6">
        <w:rPr>
          <w:rFonts w:ascii="Times New Roman" w:hAnsi="Times New Roman" w:cs="Times New Roman"/>
          <w:color w:val="FF0000"/>
          <w:sz w:val="24"/>
          <w:szCs w:val="24"/>
        </w:rPr>
        <w:t xml:space="preserve">spojují i jiné vazby, ať již </w:t>
      </w:r>
      <w:r w:rsidR="000F5C0B">
        <w:rPr>
          <w:rFonts w:ascii="Times New Roman" w:hAnsi="Times New Roman" w:cs="Times New Roman"/>
          <w:color w:val="FF0000"/>
          <w:sz w:val="24"/>
          <w:szCs w:val="24"/>
        </w:rPr>
        <w:t>pozitivní</w:t>
      </w:r>
      <w:r w:rsidRPr="00CA36E6">
        <w:rPr>
          <w:rFonts w:ascii="Times New Roman" w:hAnsi="Times New Roman" w:cs="Times New Roman"/>
          <w:color w:val="FF0000"/>
          <w:sz w:val="24"/>
          <w:szCs w:val="24"/>
        </w:rPr>
        <w:t xml:space="preserve"> či </w:t>
      </w:r>
      <w:r w:rsidR="000F5C0B">
        <w:rPr>
          <w:rFonts w:ascii="Times New Roman" w:hAnsi="Times New Roman" w:cs="Times New Roman"/>
          <w:color w:val="FF0000"/>
          <w:sz w:val="24"/>
          <w:szCs w:val="24"/>
        </w:rPr>
        <w:t>negativní</w:t>
      </w:r>
      <w:r w:rsidRPr="00CA36E6">
        <w:rPr>
          <w:rFonts w:ascii="Times New Roman" w:hAnsi="Times New Roman" w:cs="Times New Roman"/>
          <w:color w:val="FF0000"/>
          <w:sz w:val="24"/>
          <w:szCs w:val="24"/>
        </w:rPr>
        <w:t xml:space="preserve">, na </w:t>
      </w:r>
      <w:proofErr w:type="gramStart"/>
      <w:r w:rsidRPr="00CA36E6">
        <w:rPr>
          <w:rFonts w:ascii="Times New Roman" w:hAnsi="Times New Roman" w:cs="Times New Roman"/>
          <w:color w:val="FF0000"/>
          <w:sz w:val="24"/>
          <w:szCs w:val="24"/>
        </w:rPr>
        <w:t>základě</w:t>
      </w:r>
      <w:proofErr w:type="gramEnd"/>
      <w:r w:rsidRPr="00CA36E6">
        <w:rPr>
          <w:rFonts w:ascii="Times New Roman" w:hAnsi="Times New Roman" w:cs="Times New Roman"/>
          <w:color w:val="FF0000"/>
          <w:sz w:val="24"/>
          <w:szCs w:val="24"/>
        </w:rPr>
        <w:t xml:space="preserve"> kterých by bylo možné důvodně pochybovat o podjatosti úřední osoby. Tykání samo o sobě však není důvodem vyloučení úřední osoby z vykonávání úkonů v řízení. K tomu srov. např. rozsudek NSS ze dne 26. 6. 2013, č. j. 1 </w:t>
      </w:r>
      <w:proofErr w:type="spellStart"/>
      <w:r w:rsidRPr="00CA36E6">
        <w:rPr>
          <w:rFonts w:ascii="Times New Roman" w:hAnsi="Times New Roman" w:cs="Times New Roman"/>
          <w:color w:val="FF0000"/>
          <w:sz w:val="24"/>
          <w:szCs w:val="24"/>
        </w:rPr>
        <w:t>Afs</w:t>
      </w:r>
      <w:proofErr w:type="spellEnd"/>
      <w:r w:rsidRPr="00CA36E6">
        <w:rPr>
          <w:rFonts w:ascii="Times New Roman" w:hAnsi="Times New Roman" w:cs="Times New Roman"/>
          <w:color w:val="FF0000"/>
          <w:sz w:val="24"/>
          <w:szCs w:val="24"/>
        </w:rPr>
        <w:t xml:space="preserve"> 7/2009-753 (č. 2906/2013 Sb. NSS).</w:t>
      </w:r>
    </w:p>
    <w:p w14:paraId="2DC58B05" w14:textId="77777777" w:rsidR="00700D28" w:rsidRDefault="00D134AB" w:rsidP="00482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D28" w:rsidRPr="00DD4DEE">
        <w:rPr>
          <w:rFonts w:ascii="Times New Roman" w:hAnsi="Times New Roman" w:cs="Times New Roman"/>
          <w:sz w:val="24"/>
          <w:szCs w:val="24"/>
        </w:rPr>
        <w:t xml:space="preserve">. </w:t>
      </w:r>
      <w:r w:rsidR="00E007DC">
        <w:rPr>
          <w:rFonts w:ascii="Times New Roman" w:hAnsi="Times New Roman" w:cs="Times New Roman"/>
          <w:sz w:val="24"/>
          <w:szCs w:val="24"/>
        </w:rPr>
        <w:t xml:space="preserve">Posuďte </w:t>
      </w:r>
      <w:r w:rsidR="00482640">
        <w:rPr>
          <w:rFonts w:ascii="Times New Roman" w:hAnsi="Times New Roman" w:cs="Times New Roman"/>
          <w:sz w:val="24"/>
          <w:szCs w:val="24"/>
        </w:rPr>
        <w:t>relevanci argumentu</w:t>
      </w:r>
      <w:r w:rsidR="00E007DC">
        <w:rPr>
          <w:rFonts w:ascii="Times New Roman" w:hAnsi="Times New Roman" w:cs="Times New Roman"/>
          <w:sz w:val="24"/>
          <w:szCs w:val="24"/>
        </w:rPr>
        <w:t xml:space="preserve"> Karla Nováka uveden</w:t>
      </w:r>
      <w:r w:rsidR="00482640">
        <w:rPr>
          <w:rFonts w:ascii="Times New Roman" w:hAnsi="Times New Roman" w:cs="Times New Roman"/>
          <w:sz w:val="24"/>
          <w:szCs w:val="24"/>
        </w:rPr>
        <w:t>ého</w:t>
      </w:r>
      <w:r w:rsidR="00E007DC">
        <w:rPr>
          <w:rFonts w:ascii="Times New Roman" w:hAnsi="Times New Roman" w:cs="Times New Roman"/>
          <w:sz w:val="24"/>
          <w:szCs w:val="24"/>
        </w:rPr>
        <w:t xml:space="preserve"> v odvolání ohledně </w:t>
      </w:r>
      <w:r w:rsidR="00482640">
        <w:rPr>
          <w:rFonts w:ascii="Times New Roman" w:hAnsi="Times New Roman" w:cs="Times New Roman"/>
          <w:sz w:val="24"/>
          <w:szCs w:val="24"/>
        </w:rPr>
        <w:t xml:space="preserve">procesní </w:t>
      </w:r>
      <w:r w:rsidR="00E007DC">
        <w:rPr>
          <w:rFonts w:ascii="Times New Roman" w:hAnsi="Times New Roman" w:cs="Times New Roman"/>
          <w:sz w:val="24"/>
          <w:szCs w:val="24"/>
        </w:rPr>
        <w:t>nepoužitelnosti úředních záznamů o podání vysvětlení.</w:t>
      </w:r>
    </w:p>
    <w:p w14:paraId="0E72F944" w14:textId="77777777" w:rsidR="00A96FBF" w:rsidRPr="00A96FBF" w:rsidRDefault="00A96FBF" w:rsidP="0048264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6FBF">
        <w:rPr>
          <w:rFonts w:ascii="Times New Roman" w:hAnsi="Times New Roman" w:cs="Times New Roman"/>
          <w:color w:val="FF0000"/>
          <w:sz w:val="24"/>
          <w:szCs w:val="24"/>
        </w:rPr>
        <w:t>Tento argument lze považovat za relevantní, jelikož dle § 137 odst. 4 zákona č. 500/2004 Sb., správní řád, nelze záznam o podání vysvětlení použít jako důkazní prostředek.</w:t>
      </w:r>
    </w:p>
    <w:p w14:paraId="6BD14CE3" w14:textId="77777777" w:rsidR="00700D28" w:rsidRDefault="00D134AB" w:rsidP="00482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0D28" w:rsidRPr="00DD4DEE">
        <w:rPr>
          <w:rFonts w:ascii="Times New Roman" w:hAnsi="Times New Roman" w:cs="Times New Roman"/>
          <w:sz w:val="24"/>
          <w:szCs w:val="24"/>
        </w:rPr>
        <w:t>.</w:t>
      </w:r>
      <w:r w:rsidR="00D40D63" w:rsidRPr="00DD4DEE">
        <w:rPr>
          <w:rFonts w:ascii="Times New Roman" w:hAnsi="Times New Roman" w:cs="Times New Roman"/>
          <w:sz w:val="24"/>
          <w:szCs w:val="24"/>
        </w:rPr>
        <w:t xml:space="preserve"> </w:t>
      </w:r>
      <w:r w:rsidR="00E007DC">
        <w:rPr>
          <w:rFonts w:ascii="Times New Roman" w:hAnsi="Times New Roman" w:cs="Times New Roman"/>
          <w:sz w:val="24"/>
          <w:szCs w:val="24"/>
        </w:rPr>
        <w:t xml:space="preserve">Posuďte </w:t>
      </w:r>
      <w:r w:rsidR="00482640">
        <w:rPr>
          <w:rFonts w:ascii="Times New Roman" w:hAnsi="Times New Roman" w:cs="Times New Roman"/>
          <w:sz w:val="24"/>
          <w:szCs w:val="24"/>
        </w:rPr>
        <w:t xml:space="preserve">relevanci argumentu Karla Nováka uvedeného v odvolání ohledně </w:t>
      </w:r>
      <w:r w:rsidR="00A96FBF">
        <w:rPr>
          <w:rFonts w:ascii="Times New Roman" w:hAnsi="Times New Roman" w:cs="Times New Roman"/>
          <w:sz w:val="24"/>
          <w:szCs w:val="24"/>
        </w:rPr>
        <w:t xml:space="preserve">věcné </w:t>
      </w:r>
      <w:r w:rsidR="00482640">
        <w:rPr>
          <w:rFonts w:ascii="Times New Roman" w:hAnsi="Times New Roman" w:cs="Times New Roman"/>
          <w:sz w:val="24"/>
          <w:szCs w:val="24"/>
        </w:rPr>
        <w:t>nepříslušnosti obecního úřadu ve Lhotě.</w:t>
      </w:r>
    </w:p>
    <w:p w14:paraId="577FA097" w14:textId="77777777" w:rsidR="00A96FBF" w:rsidRPr="00A96FBF" w:rsidRDefault="00A96FBF" w:rsidP="0048264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6FBF">
        <w:rPr>
          <w:rFonts w:ascii="Times New Roman" w:hAnsi="Times New Roman" w:cs="Times New Roman"/>
          <w:color w:val="FF0000"/>
          <w:sz w:val="24"/>
          <w:szCs w:val="24"/>
        </w:rPr>
        <w:t>Tento argument nelze považovat za relevantní, jelikož přestupek krádeže dle § 8 odst. 1 písm. a) bod 1 zákona č. 251/2016 Sb., o některých přestupcích, patří mezi přestupky proti majetku (srov. nadpis § 8 uvedeného zákona) a dle § 60 odst. 2 písm. e) zákona č. 250/2016 Sb., o odpovědnosti za přestupky a řízení o nich, je příslušným správním orgánem k řízení o přestupcích proti majetku obecní úřad.</w:t>
      </w:r>
    </w:p>
    <w:p w14:paraId="5640B212" w14:textId="73684575" w:rsidR="00A60789" w:rsidRDefault="00D134AB" w:rsidP="00482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0D28" w:rsidRPr="00DD4DEE">
        <w:rPr>
          <w:rFonts w:ascii="Times New Roman" w:hAnsi="Times New Roman" w:cs="Times New Roman"/>
          <w:sz w:val="24"/>
          <w:szCs w:val="24"/>
        </w:rPr>
        <w:t>.</w:t>
      </w:r>
      <w:r w:rsidR="00D40D63" w:rsidRPr="00DD4DEE">
        <w:rPr>
          <w:rFonts w:ascii="Times New Roman" w:hAnsi="Times New Roman" w:cs="Times New Roman"/>
          <w:sz w:val="24"/>
          <w:szCs w:val="24"/>
        </w:rPr>
        <w:t xml:space="preserve"> </w:t>
      </w:r>
      <w:r w:rsidR="00A60789">
        <w:rPr>
          <w:rFonts w:ascii="Times New Roman" w:hAnsi="Times New Roman" w:cs="Times New Roman"/>
          <w:sz w:val="24"/>
          <w:szCs w:val="24"/>
        </w:rPr>
        <w:t xml:space="preserve">Pokud se Karel Novák domnívá, že pochybení </w:t>
      </w:r>
      <w:r w:rsidR="001B5D0D">
        <w:rPr>
          <w:rFonts w:ascii="Times New Roman" w:hAnsi="Times New Roman" w:cs="Times New Roman"/>
          <w:sz w:val="24"/>
          <w:szCs w:val="24"/>
        </w:rPr>
        <w:t xml:space="preserve">správního orgánu </w:t>
      </w:r>
      <w:r w:rsidR="000F5C0B">
        <w:rPr>
          <w:rFonts w:ascii="Times New Roman" w:hAnsi="Times New Roman" w:cs="Times New Roman"/>
          <w:sz w:val="24"/>
          <w:szCs w:val="24"/>
        </w:rPr>
        <w:t>spočívající v</w:t>
      </w:r>
      <w:r w:rsidR="00A60789">
        <w:rPr>
          <w:rFonts w:ascii="Times New Roman" w:hAnsi="Times New Roman" w:cs="Times New Roman"/>
          <w:sz w:val="24"/>
          <w:szCs w:val="24"/>
        </w:rPr>
        <w:t xml:space="preserve"> neumožnění vyjádření k podkladům rozhodnutí nemusí v odvolání tvrdit, jelikož odvolací správní orgán k tomuto přihlédne z moci úřední, je taková úvaha správná a v souladu s právními předpisy?</w:t>
      </w:r>
    </w:p>
    <w:p w14:paraId="0AFC47FD" w14:textId="77777777" w:rsidR="00A60789" w:rsidRDefault="00B21632" w:rsidP="0048264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163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Ano, tato úvaha je správná, jelikož odvolací správní orgán dle § 89 odst. 2 zákona č. 500/2004 Sb., správní řád,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vždy </w:t>
      </w:r>
      <w:r w:rsidRPr="00B21632">
        <w:rPr>
          <w:rFonts w:ascii="Times New Roman" w:hAnsi="Times New Roman" w:cs="Times New Roman"/>
          <w:color w:val="FF0000"/>
          <w:sz w:val="24"/>
          <w:szCs w:val="24"/>
        </w:rPr>
        <w:t>přezkoumává soulad napadeného rozhodnutí a řízení, které vydání rozhodnutí předcházelo, s právními předpisy.</w:t>
      </w:r>
    </w:p>
    <w:p w14:paraId="31FF8332" w14:textId="58F31361" w:rsidR="007340E6" w:rsidRPr="00B21632" w:rsidRDefault="007340E6" w:rsidP="0048264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Kromě obecné úpravy lze rovněž odkázat na § 98 odst. 1 zákona č. 250/2016 Sb., </w:t>
      </w:r>
      <w:r w:rsidRPr="007340E6">
        <w:rPr>
          <w:rFonts w:ascii="Times New Roman" w:hAnsi="Times New Roman" w:cs="Times New Roman"/>
          <w:color w:val="FF0000"/>
          <w:sz w:val="24"/>
          <w:szCs w:val="24"/>
        </w:rPr>
        <w:t>o odpovědnosti za přestupky a řízení o nich</w:t>
      </w:r>
      <w:r>
        <w:rPr>
          <w:rFonts w:ascii="Times New Roman" w:hAnsi="Times New Roman" w:cs="Times New Roman"/>
          <w:color w:val="FF0000"/>
          <w:sz w:val="24"/>
          <w:szCs w:val="24"/>
        </w:rPr>
        <w:t>, dle kterého o</w:t>
      </w:r>
      <w:r w:rsidRPr="007340E6">
        <w:rPr>
          <w:rFonts w:ascii="Times New Roman" w:hAnsi="Times New Roman" w:cs="Times New Roman"/>
          <w:color w:val="FF0000"/>
          <w:sz w:val="24"/>
          <w:szCs w:val="24"/>
        </w:rPr>
        <w:t>dvolací správní orgán přezkoumává napadené rozhodnutí v plném rozsahu.</w:t>
      </w:r>
    </w:p>
    <w:p w14:paraId="0B627A86" w14:textId="77777777" w:rsidR="00700D28" w:rsidRDefault="00D134AB" w:rsidP="00482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0D28" w:rsidRPr="00DD4DEE">
        <w:rPr>
          <w:rFonts w:ascii="Times New Roman" w:hAnsi="Times New Roman" w:cs="Times New Roman"/>
          <w:sz w:val="24"/>
          <w:szCs w:val="24"/>
        </w:rPr>
        <w:t>.</w:t>
      </w:r>
      <w:r w:rsidR="00D40D63" w:rsidRPr="00DD4DEE">
        <w:rPr>
          <w:rFonts w:ascii="Times New Roman" w:hAnsi="Times New Roman" w:cs="Times New Roman"/>
          <w:sz w:val="24"/>
          <w:szCs w:val="24"/>
        </w:rPr>
        <w:t xml:space="preserve"> </w:t>
      </w:r>
      <w:r w:rsidR="00CA36E6">
        <w:rPr>
          <w:rFonts w:ascii="Times New Roman" w:hAnsi="Times New Roman" w:cs="Times New Roman"/>
          <w:sz w:val="24"/>
          <w:szCs w:val="24"/>
        </w:rPr>
        <w:t>Byl postup krajského soudu, tj. odmítnutí žaloby pro opožděnost včetně nevyhovění žádosti o prominutí lhůty, v souladu s právními předpisy?</w:t>
      </w:r>
    </w:p>
    <w:p w14:paraId="0CAD734B" w14:textId="2B70D882" w:rsidR="00D134AB" w:rsidRPr="003F79C7" w:rsidRDefault="00CA36E6" w:rsidP="006745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36E6">
        <w:rPr>
          <w:rFonts w:ascii="Times New Roman" w:hAnsi="Times New Roman" w:cs="Times New Roman"/>
          <w:color w:val="FF0000"/>
          <w:sz w:val="24"/>
          <w:szCs w:val="24"/>
        </w:rPr>
        <w:t xml:space="preserve">Ano, postup krajského soudu byl v souladu s právními předpisy, jelikož dle § 72 odst. 1 zákona č. 150/2002 Sb., soudní řád správní, lze žalobu proti rozhodnutí podat do dvou měsíců poté, kdy rozhodnutí bylo žalobci oznámeno doručením písemného vyhotovení nebo jiným zákonem stanoveným způsobem, nestanoví-li zvláštní zákon lhůtu jinou. Podle § 72 odst. 4 téhož zákona zmeškání lhůty pro podání žaloby nelze prominout. Krajský soud tedy neměl jinou </w:t>
      </w:r>
      <w:proofErr w:type="gramStart"/>
      <w:r w:rsidRPr="00CA36E6">
        <w:rPr>
          <w:rFonts w:ascii="Times New Roman" w:hAnsi="Times New Roman" w:cs="Times New Roman"/>
          <w:color w:val="FF0000"/>
          <w:sz w:val="24"/>
          <w:szCs w:val="24"/>
        </w:rPr>
        <w:t>možnost,</w:t>
      </w:r>
      <w:proofErr w:type="gramEnd"/>
      <w:r w:rsidRPr="00CA36E6">
        <w:rPr>
          <w:rFonts w:ascii="Times New Roman" w:hAnsi="Times New Roman" w:cs="Times New Roman"/>
          <w:color w:val="FF0000"/>
          <w:sz w:val="24"/>
          <w:szCs w:val="24"/>
        </w:rPr>
        <w:t xml:space="preserve"> než žalobu odmítnout, a to i za předpokladu, že bylo objektivně vyloučeno, a</w:t>
      </w:r>
      <w:r w:rsidR="00EB1C0C">
        <w:rPr>
          <w:rFonts w:ascii="Times New Roman" w:hAnsi="Times New Roman" w:cs="Times New Roman"/>
          <w:color w:val="FF0000"/>
          <w:sz w:val="24"/>
          <w:szCs w:val="24"/>
        </w:rPr>
        <w:t xml:space="preserve">by </w:t>
      </w:r>
      <w:r w:rsidRPr="00CA36E6">
        <w:rPr>
          <w:rFonts w:ascii="Times New Roman" w:hAnsi="Times New Roman" w:cs="Times New Roman"/>
          <w:color w:val="FF0000"/>
          <w:sz w:val="24"/>
          <w:szCs w:val="24"/>
        </w:rPr>
        <w:t>Karel Novák mohl v zákonné lhůtě podat žalobu včas.</w:t>
      </w:r>
    </w:p>
    <w:sectPr w:rsidR="00D134AB" w:rsidRPr="003F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C7"/>
    <w:rsid w:val="00042A3B"/>
    <w:rsid w:val="00096D5B"/>
    <w:rsid w:val="000C1B80"/>
    <w:rsid w:val="000D270F"/>
    <w:rsid w:val="000F5C0B"/>
    <w:rsid w:val="00181DF2"/>
    <w:rsid w:val="00184D41"/>
    <w:rsid w:val="00185D08"/>
    <w:rsid w:val="001A1F21"/>
    <w:rsid w:val="001A2947"/>
    <w:rsid w:val="001A5302"/>
    <w:rsid w:val="001B5D0D"/>
    <w:rsid w:val="00212532"/>
    <w:rsid w:val="002132F0"/>
    <w:rsid w:val="00233672"/>
    <w:rsid w:val="002A113E"/>
    <w:rsid w:val="002D270D"/>
    <w:rsid w:val="002D3BC7"/>
    <w:rsid w:val="002D6056"/>
    <w:rsid w:val="002E1737"/>
    <w:rsid w:val="002F1976"/>
    <w:rsid w:val="00323DBD"/>
    <w:rsid w:val="00351D1D"/>
    <w:rsid w:val="003745E7"/>
    <w:rsid w:val="003C4BA3"/>
    <w:rsid w:val="003D0E41"/>
    <w:rsid w:val="003F79C7"/>
    <w:rsid w:val="00406D66"/>
    <w:rsid w:val="00482640"/>
    <w:rsid w:val="004D1E14"/>
    <w:rsid w:val="00540449"/>
    <w:rsid w:val="00574AA4"/>
    <w:rsid w:val="005A4B2E"/>
    <w:rsid w:val="005D19E9"/>
    <w:rsid w:val="006173CA"/>
    <w:rsid w:val="006745DF"/>
    <w:rsid w:val="00685310"/>
    <w:rsid w:val="006B26E3"/>
    <w:rsid w:val="00700D28"/>
    <w:rsid w:val="00705214"/>
    <w:rsid w:val="007340E6"/>
    <w:rsid w:val="007C3D06"/>
    <w:rsid w:val="0088238E"/>
    <w:rsid w:val="008F2E53"/>
    <w:rsid w:val="0094554D"/>
    <w:rsid w:val="00952A1F"/>
    <w:rsid w:val="009B2110"/>
    <w:rsid w:val="009F1656"/>
    <w:rsid w:val="00A05BC9"/>
    <w:rsid w:val="00A309ED"/>
    <w:rsid w:val="00A35B05"/>
    <w:rsid w:val="00A60789"/>
    <w:rsid w:val="00A81593"/>
    <w:rsid w:val="00A96FBF"/>
    <w:rsid w:val="00AA7DD9"/>
    <w:rsid w:val="00B21632"/>
    <w:rsid w:val="00C04A2F"/>
    <w:rsid w:val="00C455D6"/>
    <w:rsid w:val="00C46358"/>
    <w:rsid w:val="00CA36E6"/>
    <w:rsid w:val="00CE0972"/>
    <w:rsid w:val="00CE794D"/>
    <w:rsid w:val="00CF014E"/>
    <w:rsid w:val="00D05AED"/>
    <w:rsid w:val="00D134AB"/>
    <w:rsid w:val="00D3419A"/>
    <w:rsid w:val="00D40D63"/>
    <w:rsid w:val="00D6643E"/>
    <w:rsid w:val="00DA3ED8"/>
    <w:rsid w:val="00DD4DEE"/>
    <w:rsid w:val="00E007DC"/>
    <w:rsid w:val="00E127B4"/>
    <w:rsid w:val="00EA4369"/>
    <w:rsid w:val="00EB1C0C"/>
    <w:rsid w:val="00FD6E49"/>
    <w:rsid w:val="00FE46B2"/>
    <w:rsid w:val="00FE47DF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CBF0"/>
  <w15:docId w15:val="{2E3061B8-B2C2-B34B-A10B-D9972978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B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D60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60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60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60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60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F7A9-4FA2-45EE-A58A-6A655031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Kučerová</cp:lastModifiedBy>
  <cp:revision>2</cp:revision>
  <dcterms:created xsi:type="dcterms:W3CDTF">2024-04-29T11:10:00Z</dcterms:created>
  <dcterms:modified xsi:type="dcterms:W3CDTF">2024-04-29T11:10:00Z</dcterms:modified>
</cp:coreProperties>
</file>