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EF" w:rsidRDefault="000539EF" w:rsidP="000539EF">
      <w:pPr>
        <w:pStyle w:val="Normlnweb"/>
        <w:pageBreakBefore/>
        <w:spacing w:after="159" w:line="244" w:lineRule="auto"/>
      </w:pPr>
      <w:r>
        <w:rPr>
          <w:b/>
          <w:bCs/>
          <w:sz w:val="28"/>
          <w:szCs w:val="28"/>
          <w:u w:val="single"/>
        </w:rPr>
        <w:t>Doktorské studium v oboru obchodní právo</w:t>
      </w:r>
      <w:r>
        <w:t xml:space="preserve"> </w:t>
      </w:r>
    </w:p>
    <w:p w:rsidR="000539EF" w:rsidRDefault="000539EF" w:rsidP="00CA76F0">
      <w:pPr>
        <w:pStyle w:val="Normlnweb"/>
        <w:spacing w:after="240" w:line="244" w:lineRule="auto"/>
        <w:jc w:val="both"/>
      </w:pPr>
    </w:p>
    <w:p w:rsidR="000539EF" w:rsidRDefault="000539EF" w:rsidP="00CA76F0">
      <w:pPr>
        <w:pStyle w:val="Normlnweb"/>
        <w:spacing w:after="159" w:line="244" w:lineRule="auto"/>
        <w:jc w:val="both"/>
      </w:pPr>
      <w:r>
        <w:t xml:space="preserve">Doktorský studijní program „Teoretické právní vědy“, jehož součástí je i obor obchodní právo, je zaměřen na vědecké bádání a samostatnou tvůrčí činnost v oblasti výzkumu a jeho kontextu. Studium probíhá především formou konzultací se školitelem, který je klíčovým průvodcem celým studiem, popř. s dalšími akademickými pracovníky fakulty. Student se účastní nabízených přednášek, kolokvií, seminářů a konferencí, vyjíždí na zahraniční pobyty a stáže, zapojuje se do výzkumných projektů a prezentuje získané poznatky. Studovat lze ve formě </w:t>
      </w:r>
      <w:r>
        <w:rPr>
          <w:b/>
          <w:bCs/>
        </w:rPr>
        <w:t>kombinované</w:t>
      </w:r>
      <w:r>
        <w:t xml:space="preserve"> nebo </w:t>
      </w:r>
      <w:r>
        <w:rPr>
          <w:b/>
          <w:bCs/>
        </w:rPr>
        <w:t>prezenční</w:t>
      </w:r>
      <w:r>
        <w:t xml:space="preserve">. Z hlediska obsahu se tyto formy studia liší zejména pedagogickými úkoly a větším zapojením do vědeckých projektů u interních doktorandů. Student </w:t>
      </w:r>
      <w:r>
        <w:rPr>
          <w:b/>
          <w:bCs/>
        </w:rPr>
        <w:t>vypracuje disertační práci buď</w:t>
      </w:r>
      <w:r>
        <w:t xml:space="preserve"> </w:t>
      </w:r>
      <w:r>
        <w:rPr>
          <w:b/>
          <w:bCs/>
        </w:rPr>
        <w:t>na individuální téma</w:t>
      </w:r>
      <w:r>
        <w:t xml:space="preserve"> dle svého profesního zaměření či odborného zájmu, případně volí </w:t>
      </w:r>
      <w:r>
        <w:rPr>
          <w:b/>
          <w:bCs/>
        </w:rPr>
        <w:t>téma ze seznamu</w:t>
      </w:r>
      <w:r>
        <w:t xml:space="preserve"> uvedeného níže.</w:t>
      </w:r>
    </w:p>
    <w:p w:rsidR="000539EF" w:rsidRDefault="000539EF" w:rsidP="00CA76F0">
      <w:pPr>
        <w:pStyle w:val="Normlnweb"/>
        <w:spacing w:after="159" w:line="244" w:lineRule="auto"/>
        <w:jc w:val="both"/>
      </w:pPr>
      <w:r>
        <w:t xml:space="preserve">Doktorské studium upravuje: zákon vysokých </w:t>
      </w:r>
      <w:proofErr w:type="gramStart"/>
      <w:r>
        <w:t>školách</w:t>
      </w:r>
      <w:proofErr w:type="gramEnd"/>
      <w:r>
        <w:t xml:space="preserve"> (zákon č.111/1998 Sb.), Statut Univerzity Karlovy, Studijní a zkušební řád Univerzity Karlovy, Pravidla pro organizaci </w:t>
      </w:r>
      <w:bookmarkStart w:id="0" w:name="_GoBack"/>
      <w:bookmarkEnd w:id="0"/>
      <w:r>
        <w:t>studia na Právnické fakultě Univerzity Karlovy, opatření rektora č. 13/2017, opatření rektora č. 19/2018, opatření rektora č. 24/2018, opatření děkana č. 3/2009, opatření děkana č. 17/2017, opatření děkana č.8/2017. Student je povinen se informovat o aktuálních předpisech.</w:t>
      </w:r>
    </w:p>
    <w:p w:rsidR="000539EF" w:rsidRDefault="000539EF" w:rsidP="000539EF">
      <w:pPr>
        <w:pStyle w:val="Normlnweb"/>
        <w:spacing w:after="240" w:line="244" w:lineRule="auto"/>
      </w:pPr>
    </w:p>
    <w:p w:rsidR="000539EF" w:rsidRDefault="000539EF" w:rsidP="000539EF">
      <w:pPr>
        <w:pStyle w:val="Normlnweb"/>
        <w:spacing w:after="159" w:line="244" w:lineRule="auto"/>
      </w:pPr>
      <w:r>
        <w:rPr>
          <w:b/>
          <w:bCs/>
        </w:rPr>
        <w:t xml:space="preserve">Garant oboru obchodního práva: </w:t>
      </w:r>
      <w:r>
        <w:t>prof. JUDr. Stanislava Černá, CSc.</w:t>
      </w:r>
      <w:r>
        <w:rPr>
          <w:b/>
          <w:bCs/>
        </w:rPr>
        <w:t xml:space="preserve"> </w:t>
      </w:r>
    </w:p>
    <w:p w:rsidR="000539EF" w:rsidRDefault="000539EF" w:rsidP="000539EF">
      <w:pPr>
        <w:pStyle w:val="Normlnweb"/>
        <w:spacing w:after="240" w:line="244" w:lineRule="auto"/>
      </w:pPr>
    </w:p>
    <w:p w:rsidR="000539EF" w:rsidRDefault="000539EF" w:rsidP="000539EF">
      <w:pPr>
        <w:pStyle w:val="Normlnweb"/>
        <w:spacing w:after="159" w:line="244" w:lineRule="auto"/>
      </w:pPr>
      <w:r>
        <w:rPr>
          <w:b/>
          <w:bCs/>
        </w:rPr>
        <w:t>Školitelé:</w:t>
      </w:r>
    </w:p>
    <w:p w:rsidR="000539EF" w:rsidRDefault="000539EF" w:rsidP="000539EF">
      <w:pPr>
        <w:pStyle w:val="Normlnweb"/>
        <w:spacing w:after="240" w:line="244" w:lineRule="auto"/>
      </w:pPr>
    </w:p>
    <w:p w:rsidR="000539EF" w:rsidRDefault="000539EF" w:rsidP="000539EF">
      <w:pPr>
        <w:pStyle w:val="Normlnweb"/>
        <w:spacing w:after="159" w:line="244" w:lineRule="auto"/>
      </w:pPr>
      <w:r>
        <w:t xml:space="preserve">prof. JUDr. Stanislava Černá, CSc. </w:t>
      </w:r>
    </w:p>
    <w:p w:rsidR="000539EF" w:rsidRDefault="000539EF" w:rsidP="000539EF">
      <w:pPr>
        <w:pStyle w:val="Normlnweb"/>
        <w:spacing w:after="159" w:line="244" w:lineRule="auto"/>
      </w:pPr>
      <w:r>
        <w:t xml:space="preserve">JUDr. Kateřina Eichlerová, Ph.D. </w:t>
      </w:r>
    </w:p>
    <w:p w:rsidR="000539EF" w:rsidRDefault="000539EF" w:rsidP="000539EF">
      <w:pPr>
        <w:pStyle w:val="Normlnweb"/>
        <w:spacing w:after="159" w:line="244" w:lineRule="auto"/>
      </w:pPr>
      <w:r>
        <w:t xml:space="preserve">JUDr. Lucie Josková, Ph.D., </w:t>
      </w:r>
      <w:proofErr w:type="gramStart"/>
      <w:r>
        <w:t>LL.M.</w:t>
      </w:r>
      <w:proofErr w:type="gramEnd"/>
      <w:r>
        <w:t xml:space="preserve"> </w:t>
      </w:r>
    </w:p>
    <w:p w:rsidR="000539EF" w:rsidRDefault="000539EF" w:rsidP="000539EF">
      <w:pPr>
        <w:pStyle w:val="Normlnweb"/>
        <w:spacing w:after="159" w:line="244" w:lineRule="auto"/>
      </w:pPr>
      <w:r>
        <w:t xml:space="preserve">Doc. JUDr. Petr Liška, Ph.D., </w:t>
      </w:r>
      <w:proofErr w:type="gramStart"/>
      <w:r>
        <w:t>LL.M.</w:t>
      </w:r>
      <w:proofErr w:type="gramEnd"/>
      <w:r>
        <w:t xml:space="preserve"> </w:t>
      </w:r>
    </w:p>
    <w:p w:rsidR="000539EF" w:rsidRDefault="000539EF" w:rsidP="000539EF">
      <w:pPr>
        <w:pStyle w:val="Normlnweb"/>
        <w:spacing w:after="159" w:line="244" w:lineRule="auto"/>
      </w:pPr>
      <w:r>
        <w:t xml:space="preserve">Doc. JUDr. Daniel </w:t>
      </w:r>
      <w:proofErr w:type="spellStart"/>
      <w:r>
        <w:t>Patěk</w:t>
      </w:r>
      <w:proofErr w:type="spellEnd"/>
      <w:r>
        <w:t xml:space="preserve">, Ph.D. 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 xml:space="preserve">Prof. JUDr. Irena Pelikánová, </w:t>
      </w:r>
      <w:proofErr w:type="spellStart"/>
      <w:proofErr w:type="gramStart"/>
      <w:r>
        <w:t>Dr.Sc</w:t>
      </w:r>
      <w:proofErr w:type="spellEnd"/>
      <w:r>
        <w:t>.</w:t>
      </w:r>
      <w:proofErr w:type="gramEnd"/>
      <w:r>
        <w:t xml:space="preserve"> </w:t>
      </w:r>
    </w:p>
    <w:p w:rsidR="000539EF" w:rsidRDefault="000539EF" w:rsidP="000539EF">
      <w:pPr>
        <w:pStyle w:val="Normlnweb"/>
        <w:spacing w:after="240" w:line="244" w:lineRule="auto"/>
      </w:pPr>
    </w:p>
    <w:p w:rsidR="000539EF" w:rsidRDefault="000539EF" w:rsidP="000539EF">
      <w:pPr>
        <w:pStyle w:val="Normlnweb"/>
        <w:spacing w:after="240" w:line="244" w:lineRule="auto"/>
      </w:pPr>
    </w:p>
    <w:p w:rsidR="000539EF" w:rsidRDefault="000539EF" w:rsidP="000539EF">
      <w:pPr>
        <w:pStyle w:val="Normlnweb"/>
        <w:spacing w:after="240" w:line="244" w:lineRule="auto"/>
      </w:pPr>
    </w:p>
    <w:p w:rsidR="000539EF" w:rsidRDefault="000539EF" w:rsidP="000539EF">
      <w:pPr>
        <w:pStyle w:val="Normlnweb"/>
        <w:spacing w:after="240" w:line="244" w:lineRule="auto"/>
      </w:pPr>
    </w:p>
    <w:p w:rsidR="000539EF" w:rsidRDefault="000539EF" w:rsidP="000539EF">
      <w:pPr>
        <w:pStyle w:val="Normlnweb"/>
        <w:spacing w:after="159" w:line="244" w:lineRule="auto"/>
      </w:pPr>
      <w:r>
        <w:rPr>
          <w:b/>
          <w:bCs/>
        </w:rPr>
        <w:lastRenderedPageBreak/>
        <w:t xml:space="preserve">Navržená témata disertačních prací: </w:t>
      </w:r>
    </w:p>
    <w:p w:rsidR="000539EF" w:rsidRDefault="000539EF" w:rsidP="000539EF">
      <w:pPr>
        <w:pStyle w:val="Normlnweb"/>
        <w:spacing w:before="102" w:beforeAutospacing="0" w:after="240" w:line="240" w:lineRule="auto"/>
      </w:pP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  <w:b/>
          <w:bCs/>
          <w:u w:val="single"/>
        </w:rPr>
        <w:t xml:space="preserve">Prof. JUDr. Stanislava Černá, CSc. 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</w:rPr>
        <w:t xml:space="preserve">Osoby v obdobném postavení člena statutárního orgánu 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</w:rPr>
        <w:t xml:space="preserve">Obchodní </w:t>
      </w:r>
      <w:proofErr w:type="spellStart"/>
      <w:r>
        <w:rPr>
          <w:rFonts w:ascii="Calibri" w:hAnsi="Calibri"/>
        </w:rPr>
        <w:t>svěřenský</w:t>
      </w:r>
      <w:proofErr w:type="spellEnd"/>
      <w:r>
        <w:rPr>
          <w:rFonts w:ascii="Calibri" w:hAnsi="Calibri"/>
        </w:rPr>
        <w:t xml:space="preserve"> fond 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</w:rPr>
        <w:t>Práva a povinnosti člena statutárního orgánu řízené kapitálové společnosti v situaci hrozícího úpadku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</w:rPr>
        <w:t xml:space="preserve">Neplatnost a neúčinnost právních jednání osob tvořících koncern s insolvenčním dlužníkem 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  <w:b/>
          <w:bCs/>
          <w:u w:val="single"/>
        </w:rPr>
        <w:t xml:space="preserve">JUDr. Kateřina Eichlerová, Ph.D. 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>Obec a kraj v postavení akcionáře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>Společník obchodní společnosti jako spotřebitel 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>Hmotněprávní následky úpadku dlužníka pro jeho obchodní partnery 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  <w:b/>
          <w:bCs/>
          <w:u w:val="single"/>
        </w:rPr>
        <w:t>JUDr. Lucie Josková, Ph.D.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</w:rPr>
        <w:t>Povinnost loajality společníka v mezinárodním srovnání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</w:rPr>
        <w:t xml:space="preserve">Osoby s postavením </w:t>
      </w:r>
      <w:proofErr w:type="spellStart"/>
      <w:r>
        <w:rPr>
          <w:rFonts w:ascii="Calibri" w:hAnsi="Calibri"/>
        </w:rPr>
        <w:t>fiduciáře</w:t>
      </w:r>
      <w:proofErr w:type="spellEnd"/>
      <w:r>
        <w:rPr>
          <w:rFonts w:ascii="Calibri" w:hAnsi="Calibri"/>
        </w:rPr>
        <w:t xml:space="preserve"> podle českého obchodního práva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</w:rPr>
        <w:t>Nástroje ochrany věřitelů obchodní společnosti v hospodářských potížích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rPr>
          <w:b/>
          <w:bCs/>
          <w:color w:val="444444"/>
          <w:u w:val="single"/>
        </w:rPr>
        <w:t xml:space="preserve">Doc. JUDr. Petr Liška, Ph.D., </w:t>
      </w:r>
      <w:proofErr w:type="gramStart"/>
      <w:r>
        <w:rPr>
          <w:b/>
          <w:bCs/>
          <w:color w:val="444444"/>
          <w:u w:val="single"/>
        </w:rPr>
        <w:t>LL.M.</w:t>
      </w:r>
      <w:proofErr w:type="gramEnd"/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rPr>
          <w:color w:val="444444"/>
        </w:rPr>
        <w:t>Ochrana spotřebitele v právní úpravě smlouvy o účtu</w:t>
      </w:r>
    </w:p>
    <w:p w:rsidR="000539EF" w:rsidRDefault="000539EF" w:rsidP="000539EF">
      <w:pPr>
        <w:pStyle w:val="Normlnweb"/>
        <w:spacing w:after="0" w:line="244" w:lineRule="auto"/>
      </w:pPr>
      <w:r>
        <w:rPr>
          <w:color w:val="444444"/>
        </w:rPr>
        <w:t>Banka jako obchodní společnost</w:t>
      </w:r>
    </w:p>
    <w:p w:rsidR="000539EF" w:rsidRDefault="000539EF" w:rsidP="000539EF">
      <w:pPr>
        <w:pStyle w:val="Normlnweb"/>
        <w:spacing w:before="102" w:beforeAutospacing="0" w:after="102" w:line="240" w:lineRule="auto"/>
      </w:pPr>
      <w:r>
        <w:rPr>
          <w:rFonts w:ascii="Calibri" w:hAnsi="Calibri"/>
          <w:b/>
          <w:bCs/>
          <w:u w:val="single"/>
        </w:rPr>
        <w:t xml:space="preserve">Doc. JUDr. </w:t>
      </w:r>
      <w:proofErr w:type="spellStart"/>
      <w:r>
        <w:rPr>
          <w:rFonts w:ascii="Calibri" w:hAnsi="Calibri"/>
          <w:b/>
          <w:bCs/>
          <w:u w:val="single"/>
        </w:rPr>
        <w:t>Patěk</w:t>
      </w:r>
      <w:proofErr w:type="spellEnd"/>
      <w:r>
        <w:rPr>
          <w:rFonts w:ascii="Calibri" w:hAnsi="Calibri"/>
          <w:b/>
          <w:bCs/>
          <w:u w:val="single"/>
        </w:rPr>
        <w:t>, Ph.D.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>Test průměrného spotřebitele jako nástroj aplikace práva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>Zájem obchodní korporace se zřetelem ke konceptu společenské odpovědnosti korporací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>Kompenzace nemajetkové újmy v obchodním právu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rPr>
          <w:b/>
          <w:bCs/>
          <w:u w:val="single"/>
        </w:rPr>
        <w:t xml:space="preserve">Prof. JUDr. Irena Pelikánová, </w:t>
      </w:r>
      <w:proofErr w:type="spellStart"/>
      <w:proofErr w:type="gramStart"/>
      <w:r>
        <w:rPr>
          <w:b/>
          <w:bCs/>
          <w:u w:val="single"/>
        </w:rPr>
        <w:t>Dr.Sc</w:t>
      </w:r>
      <w:proofErr w:type="spellEnd"/>
      <w:r>
        <w:rPr>
          <w:b/>
          <w:bCs/>
          <w:u w:val="single"/>
        </w:rPr>
        <w:t>.</w:t>
      </w:r>
      <w:proofErr w:type="gramEnd"/>
      <w:r>
        <w:rPr>
          <w:b/>
          <w:bCs/>
          <w:u w:val="single"/>
        </w:rPr>
        <w:t xml:space="preserve"> 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 xml:space="preserve">Odpovědnost právnických osob 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>Právo na náhradu nemajetkové újmy ve vztahu k právnickým osobám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 xml:space="preserve">Vztah kontraktní a deliktní odpovědnosti </w:t>
      </w:r>
    </w:p>
    <w:p w:rsidR="000539EF" w:rsidRDefault="000539EF" w:rsidP="000539EF">
      <w:pPr>
        <w:pStyle w:val="Normlnweb"/>
        <w:spacing w:before="102" w:beforeAutospacing="0" w:after="102" w:line="244" w:lineRule="auto"/>
      </w:pPr>
      <w:r>
        <w:t xml:space="preserve">Podnikatel před unijním soudem </w:t>
      </w:r>
    </w:p>
    <w:p w:rsidR="000539EF" w:rsidRDefault="000539EF" w:rsidP="000539EF">
      <w:pPr>
        <w:pStyle w:val="Normlnweb"/>
        <w:spacing w:after="240" w:line="244" w:lineRule="auto"/>
      </w:pPr>
    </w:p>
    <w:p w:rsidR="000539EF" w:rsidRDefault="000539EF" w:rsidP="000539EF">
      <w:pPr>
        <w:pStyle w:val="Normlnweb"/>
        <w:spacing w:after="159" w:line="244" w:lineRule="auto"/>
      </w:pPr>
      <w:r>
        <w:t xml:space="preserve">V Praze, dne 8. 2. 2019 </w:t>
      </w:r>
    </w:p>
    <w:p w:rsidR="000539EF" w:rsidRDefault="000539EF" w:rsidP="000539EF">
      <w:pPr>
        <w:pStyle w:val="Normlnweb"/>
        <w:spacing w:after="159" w:line="244" w:lineRule="auto"/>
      </w:pPr>
      <w:r>
        <w:t xml:space="preserve">prof. JUDr. Stanislava Černá, CSc. </w:t>
      </w:r>
    </w:p>
    <w:p w:rsidR="000539EF" w:rsidRDefault="000539EF" w:rsidP="000539EF">
      <w:pPr>
        <w:pStyle w:val="Normlnweb"/>
        <w:spacing w:after="159" w:line="244" w:lineRule="auto"/>
      </w:pPr>
      <w:proofErr w:type="spellStart"/>
      <w:r>
        <w:t>garantka</w:t>
      </w:r>
      <w:proofErr w:type="spellEnd"/>
      <w:r>
        <w:t xml:space="preserve"> oboru obchodní právo</w:t>
      </w:r>
    </w:p>
    <w:p w:rsidR="002D6FF5" w:rsidRDefault="002D6FF5"/>
    <w:sectPr w:rsidR="002D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F"/>
    <w:rsid w:val="000539EF"/>
    <w:rsid w:val="002D6FF5"/>
    <w:rsid w:val="00C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39E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39E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Vackova</dc:creator>
  <cp:lastModifiedBy>Alena Vackova</cp:lastModifiedBy>
  <cp:revision>2</cp:revision>
  <dcterms:created xsi:type="dcterms:W3CDTF">2019-02-18T09:12:00Z</dcterms:created>
  <dcterms:modified xsi:type="dcterms:W3CDTF">2019-02-18T09:12:00Z</dcterms:modified>
</cp:coreProperties>
</file>