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A1" w:rsidRPr="00132D73" w:rsidRDefault="00132D73" w:rsidP="000212A1">
      <w:pPr>
        <w:spacing w:after="120"/>
        <w:jc w:val="center"/>
        <w:rPr>
          <w:b/>
          <w:smallCaps/>
          <w:sz w:val="44"/>
          <w:szCs w:val="44"/>
        </w:rPr>
      </w:pPr>
      <w:bookmarkStart w:id="0" w:name="_GoBack"/>
      <w:bookmarkEnd w:id="0"/>
      <w:r>
        <w:rPr>
          <w:b/>
          <w:smallCaps/>
          <w:sz w:val="44"/>
          <w:szCs w:val="44"/>
        </w:rPr>
        <w:t xml:space="preserve">PRŮBĚŽNÁ </w:t>
      </w:r>
      <w:r w:rsidR="000212A1" w:rsidRPr="00132D73">
        <w:rPr>
          <w:b/>
          <w:smallCaps/>
          <w:sz w:val="44"/>
          <w:szCs w:val="44"/>
        </w:rPr>
        <w:t>ZPRÁVA</w:t>
      </w:r>
    </w:p>
    <w:p w:rsidR="00B1417A" w:rsidRDefault="000212A1" w:rsidP="00B1417A">
      <w:pPr>
        <w:jc w:val="center"/>
        <w:rPr>
          <w:b/>
          <w:sz w:val="32"/>
          <w:szCs w:val="32"/>
        </w:rPr>
      </w:pPr>
      <w:r w:rsidRPr="00DD19E7">
        <w:rPr>
          <w:b/>
          <w:sz w:val="32"/>
          <w:szCs w:val="32"/>
        </w:rPr>
        <w:t>o uskutečňování Programu rozvoj</w:t>
      </w:r>
      <w:r w:rsidR="00B1417A">
        <w:rPr>
          <w:b/>
          <w:sz w:val="32"/>
          <w:szCs w:val="32"/>
        </w:rPr>
        <w:t xml:space="preserve">e vědních oblastí na Univerzitě </w:t>
      </w:r>
      <w:r w:rsidRPr="00DD19E7">
        <w:rPr>
          <w:b/>
          <w:sz w:val="32"/>
          <w:szCs w:val="32"/>
        </w:rPr>
        <w:t>Karlově (PRVOUK)</w:t>
      </w:r>
      <w:r>
        <w:rPr>
          <w:b/>
          <w:sz w:val="32"/>
          <w:szCs w:val="32"/>
        </w:rPr>
        <w:t xml:space="preserve"> za </w:t>
      </w:r>
      <w:r w:rsidRPr="00DD19E7">
        <w:rPr>
          <w:b/>
          <w:sz w:val="32"/>
          <w:szCs w:val="32"/>
        </w:rPr>
        <w:t>rok 201</w:t>
      </w:r>
      <w:r>
        <w:rPr>
          <w:b/>
          <w:sz w:val="32"/>
          <w:szCs w:val="32"/>
        </w:rPr>
        <w:t>5</w:t>
      </w:r>
      <w:r w:rsidR="00B1417A">
        <w:rPr>
          <w:b/>
          <w:sz w:val="32"/>
          <w:szCs w:val="32"/>
        </w:rPr>
        <w:t xml:space="preserve"> </w:t>
      </w:r>
    </w:p>
    <w:p w:rsidR="00E51898" w:rsidRDefault="00E51898" w:rsidP="00B1417A">
      <w:pPr>
        <w:spacing w:after="120"/>
        <w:jc w:val="center"/>
        <w:rPr>
          <w:b/>
          <w:sz w:val="32"/>
          <w:szCs w:val="32"/>
        </w:rPr>
      </w:pPr>
      <w:r w:rsidRPr="00E51898">
        <w:rPr>
          <w:b/>
          <w:sz w:val="32"/>
          <w:szCs w:val="32"/>
        </w:rPr>
        <w:t xml:space="preserve">a o dosavadním průběhu realizace </w:t>
      </w:r>
      <w:r w:rsidR="00B1417A">
        <w:rPr>
          <w:b/>
          <w:sz w:val="32"/>
          <w:szCs w:val="32"/>
        </w:rPr>
        <w:t>tohoto programu</w:t>
      </w:r>
    </w:p>
    <w:p w:rsidR="000212A1" w:rsidRPr="000212A1" w:rsidRDefault="000212A1" w:rsidP="000212A1">
      <w:pPr>
        <w:jc w:val="center"/>
        <w:rPr>
          <w:sz w:val="32"/>
          <w:szCs w:val="32"/>
        </w:rPr>
      </w:pPr>
      <w:r w:rsidRPr="00FF290C">
        <w:t>(varianta formuláře pro programy z oblasti humanitních a společenských věd)</w:t>
      </w:r>
    </w:p>
    <w:p w:rsidR="000212A1" w:rsidRDefault="000212A1" w:rsidP="000212A1">
      <w:pPr>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9212"/>
      </w:tblGrid>
      <w:tr w:rsidR="000212A1" w:rsidRPr="0075347D" w:rsidTr="002D1438">
        <w:tc>
          <w:tcPr>
            <w:tcW w:w="9212" w:type="dxa"/>
            <w:shd w:val="clear" w:color="auto" w:fill="auto"/>
          </w:tcPr>
          <w:p w:rsidR="000212A1" w:rsidRPr="0076361C" w:rsidRDefault="000212A1" w:rsidP="00607742">
            <w:pPr>
              <w:rPr>
                <w:color w:val="FF0000"/>
              </w:rPr>
            </w:pPr>
            <w:r w:rsidRPr="0076361C">
              <w:rPr>
                <w:b/>
              </w:rPr>
              <w:t xml:space="preserve">Kód programu: </w:t>
            </w:r>
            <w:r w:rsidR="00D05817" w:rsidRPr="00AA61E0">
              <w:t>P0</w:t>
            </w:r>
            <w:r w:rsidR="00607742">
              <w:t>6</w:t>
            </w:r>
          </w:p>
        </w:tc>
      </w:tr>
      <w:tr w:rsidR="000212A1" w:rsidRPr="0075347D" w:rsidTr="002D1438">
        <w:tc>
          <w:tcPr>
            <w:tcW w:w="9212" w:type="dxa"/>
            <w:shd w:val="clear" w:color="auto" w:fill="auto"/>
          </w:tcPr>
          <w:p w:rsidR="000212A1" w:rsidRPr="00945DDA" w:rsidRDefault="000212A1" w:rsidP="002D1438">
            <w:r w:rsidRPr="0076361C">
              <w:rPr>
                <w:b/>
              </w:rPr>
              <w:t>Název programu:</w:t>
            </w:r>
            <w:r>
              <w:t xml:space="preserve"> </w:t>
            </w:r>
            <w:r w:rsidR="00607742" w:rsidRPr="00346CC6">
              <w:t>Veřejné právo v kontextu europeizace a globalizace</w:t>
            </w:r>
          </w:p>
        </w:tc>
      </w:tr>
      <w:tr w:rsidR="000212A1" w:rsidRPr="0075347D" w:rsidTr="002D1438">
        <w:tc>
          <w:tcPr>
            <w:tcW w:w="9212" w:type="dxa"/>
            <w:shd w:val="clear" w:color="auto" w:fill="auto"/>
          </w:tcPr>
          <w:p w:rsidR="000212A1" w:rsidRDefault="000212A1" w:rsidP="002D1438">
            <w:r w:rsidRPr="0076361C">
              <w:rPr>
                <w:b/>
              </w:rPr>
              <w:t>Zúčastněné fakulty (</w:t>
            </w:r>
            <w:r w:rsidR="006F0CBC" w:rsidRPr="00D908B1">
              <w:rPr>
                <w:b/>
              </w:rPr>
              <w:t>VŠ ústavy</w:t>
            </w:r>
            <w:r w:rsidRPr="0076361C">
              <w:rPr>
                <w:b/>
              </w:rPr>
              <w:t>) UK</w:t>
            </w:r>
            <w:r w:rsidRPr="0075347D">
              <w:t xml:space="preserve"> </w:t>
            </w:r>
            <w:r w:rsidRPr="0076361C">
              <w:rPr>
                <w:sz w:val="20"/>
                <w:szCs w:val="20"/>
              </w:rPr>
              <w:t>(na 1. místě uveďte fakultu koordinátora)</w:t>
            </w:r>
            <w:r w:rsidRPr="0075347D">
              <w:t>:</w:t>
            </w:r>
            <w:r>
              <w:t xml:space="preserve"> </w:t>
            </w:r>
          </w:p>
          <w:p w:rsidR="000212A1" w:rsidRPr="0076361C" w:rsidRDefault="00D05817" w:rsidP="002D1438">
            <w:pPr>
              <w:rPr>
                <w:color w:val="FF0000"/>
              </w:rPr>
            </w:pPr>
            <w:r w:rsidRPr="00AA61E0">
              <w:t>Právnická fakulta</w:t>
            </w:r>
          </w:p>
        </w:tc>
      </w:tr>
      <w:tr w:rsidR="000212A1" w:rsidRPr="0075347D" w:rsidTr="002D1438">
        <w:tc>
          <w:tcPr>
            <w:tcW w:w="9212" w:type="dxa"/>
            <w:shd w:val="clear" w:color="auto" w:fill="auto"/>
          </w:tcPr>
          <w:p w:rsidR="000212A1" w:rsidRPr="0075347D" w:rsidRDefault="000212A1" w:rsidP="002D1438">
            <w:r w:rsidRPr="0076361C">
              <w:rPr>
                <w:b/>
              </w:rPr>
              <w:t>Koordinátor:</w:t>
            </w:r>
            <w:r>
              <w:t xml:space="preserve"> </w:t>
            </w:r>
            <w:r w:rsidR="00607742" w:rsidRPr="00346CC6">
              <w:t>prof. JUDr. PhDr. Michal Tomášek, DrSc.</w:t>
            </w:r>
          </w:p>
        </w:tc>
      </w:tr>
    </w:tbl>
    <w:p w:rsidR="000212A1" w:rsidRDefault="000212A1" w:rsidP="000212A1">
      <w:pPr>
        <w:jc w:val="both"/>
      </w:pPr>
    </w:p>
    <w:p w:rsidR="000212A1" w:rsidRDefault="000212A1" w:rsidP="000212A1">
      <w:pPr>
        <w:jc w:val="both"/>
      </w:pPr>
    </w:p>
    <w:p w:rsidR="00FF290C" w:rsidRDefault="00132D73" w:rsidP="006603C4">
      <w:pPr>
        <w:jc w:val="center"/>
        <w:rPr>
          <w:smallCaps/>
        </w:rPr>
      </w:pPr>
      <w:r w:rsidRPr="00132D73">
        <w:rPr>
          <w:b/>
          <w:smallCaps/>
          <w:sz w:val="36"/>
          <w:szCs w:val="36"/>
        </w:rPr>
        <w:t>ČÁST A</w:t>
      </w:r>
      <w:r w:rsidR="00FF290C">
        <w:rPr>
          <w:b/>
          <w:smallCaps/>
          <w:sz w:val="36"/>
          <w:szCs w:val="36"/>
        </w:rPr>
        <w:t xml:space="preserve"> </w:t>
      </w:r>
      <w:r w:rsidR="00FF290C">
        <w:rPr>
          <w:smallCaps/>
        </w:rPr>
        <w:t xml:space="preserve"> </w:t>
      </w:r>
    </w:p>
    <w:p w:rsidR="002D1438" w:rsidRPr="00FF290C" w:rsidRDefault="00FF290C" w:rsidP="006603C4">
      <w:pPr>
        <w:jc w:val="center"/>
        <w:rPr>
          <w:b/>
          <w:smallCaps/>
        </w:rPr>
      </w:pPr>
      <w:r w:rsidRPr="00FF290C">
        <w:t>(týká se roku 2015)</w:t>
      </w:r>
    </w:p>
    <w:p w:rsidR="000212A1" w:rsidRPr="0075347D" w:rsidRDefault="006603C4" w:rsidP="000212A1">
      <w:pPr>
        <w:keepNext/>
        <w:jc w:val="both"/>
        <w:rPr>
          <w:b/>
        </w:rPr>
      </w:pPr>
      <w:r>
        <w:rPr>
          <w:b/>
        </w:rPr>
        <w:t>A1</w:t>
      </w:r>
      <w:r w:rsidR="000212A1" w:rsidRPr="0075347D">
        <w:rPr>
          <w:b/>
        </w:rPr>
        <w:t>.</w:t>
      </w:r>
    </w:p>
    <w:p w:rsidR="000212A1" w:rsidRDefault="002D1438" w:rsidP="000212A1">
      <w:pPr>
        <w:keepNext/>
        <w:jc w:val="both"/>
        <w:rPr>
          <w:b/>
        </w:rPr>
      </w:pPr>
      <w:r>
        <w:rPr>
          <w:b/>
        </w:rPr>
        <w:t>Stručný souhrn o uskutečňování</w:t>
      </w:r>
      <w:r w:rsidR="000212A1" w:rsidRPr="00E650EA">
        <w:rPr>
          <w:b/>
        </w:rPr>
        <w:t xml:space="preserve"> programu</w:t>
      </w:r>
      <w:r w:rsidR="000212A1">
        <w:rPr>
          <w:b/>
        </w:rPr>
        <w:t>, včetně plnění cílů programu</w:t>
      </w:r>
    </w:p>
    <w:p w:rsidR="000212A1" w:rsidRPr="006603C4" w:rsidRDefault="000212A1" w:rsidP="00661B8F">
      <w:pPr>
        <w:keepNext/>
        <w:jc w:val="both"/>
        <w:rPr>
          <w:i/>
          <w:sz w:val="22"/>
          <w:szCs w:val="22"/>
        </w:rPr>
      </w:pPr>
      <w:r w:rsidRPr="006603C4">
        <w:rPr>
          <w:i/>
          <w:sz w:val="22"/>
          <w:szCs w:val="22"/>
        </w:rPr>
        <w:t>Doporučený rozsah</w:t>
      </w:r>
      <w:r w:rsidRPr="00FF290C">
        <w:rPr>
          <w:i/>
          <w:sz w:val="22"/>
          <w:szCs w:val="22"/>
        </w:rPr>
        <w:t>: 1</w:t>
      </w:r>
      <w:r w:rsidR="002D1438" w:rsidRPr="00FF290C">
        <w:rPr>
          <w:i/>
          <w:sz w:val="22"/>
          <w:szCs w:val="22"/>
        </w:rPr>
        <w:t>–</w:t>
      </w:r>
      <w:r w:rsidRPr="00FF290C">
        <w:rPr>
          <w:i/>
          <w:sz w:val="22"/>
          <w:szCs w:val="22"/>
        </w:rPr>
        <w:t>4 strany</w:t>
      </w:r>
      <w:r w:rsidRPr="006603C4">
        <w:rPr>
          <w:i/>
          <w:sz w:val="22"/>
          <w:szCs w:val="22"/>
        </w:rPr>
        <w:t xml:space="preserve">. </w:t>
      </w:r>
      <w:r w:rsidR="00661B8F" w:rsidRPr="006603C4">
        <w:rPr>
          <w:i/>
          <w:sz w:val="22"/>
          <w:szCs w:val="22"/>
        </w:rPr>
        <w:t xml:space="preserve">Stručně popište práci jednotlivých týmů zapojených do programu a jejich spolupráci; u společných programů zmiňte také mezifakultní spolupráci, případně odkažte na výsledky vytvořené v rámci této spolupráce. </w:t>
      </w:r>
      <w:r w:rsidRPr="006603C4">
        <w:rPr>
          <w:i/>
          <w:sz w:val="22"/>
          <w:szCs w:val="22"/>
        </w:rPr>
        <w:t>Můžete uvést i spolupráci s jinými PRVOUKy</w:t>
      </w:r>
      <w:r w:rsidR="00B77DDB">
        <w:rPr>
          <w:i/>
          <w:sz w:val="22"/>
          <w:szCs w:val="22"/>
        </w:rPr>
        <w:t xml:space="preserve"> a zahraniční spolupráci</w:t>
      </w:r>
      <w:r w:rsidRPr="006603C4">
        <w:rPr>
          <w:i/>
          <w:sz w:val="22"/>
          <w:szCs w:val="22"/>
        </w:rPr>
        <w:t xml:space="preserve">. </w:t>
      </w:r>
    </w:p>
    <w:p w:rsidR="007363A8" w:rsidRDefault="000212A1" w:rsidP="000212A1">
      <w:pPr>
        <w:keepNext/>
        <w:jc w:val="both"/>
        <w:rPr>
          <w:i/>
          <w:sz w:val="22"/>
          <w:szCs w:val="22"/>
        </w:rPr>
      </w:pPr>
      <w:r w:rsidRPr="006603C4">
        <w:rPr>
          <w:i/>
          <w:sz w:val="22"/>
          <w:szCs w:val="22"/>
        </w:rPr>
        <w:t>Uveďte termíny jednání rady programu v roce 201</w:t>
      </w:r>
      <w:r w:rsidR="005D0732" w:rsidRPr="006603C4">
        <w:rPr>
          <w:i/>
          <w:sz w:val="22"/>
          <w:szCs w:val="22"/>
        </w:rPr>
        <w:t>5</w:t>
      </w:r>
      <w:r w:rsidRPr="006603C4">
        <w:rPr>
          <w:i/>
          <w:sz w:val="22"/>
          <w:szCs w:val="22"/>
        </w:rPr>
        <w:t xml:space="preserve">. Zmiňte případné </w:t>
      </w:r>
      <w:r w:rsidR="00F0566D">
        <w:rPr>
          <w:i/>
          <w:sz w:val="22"/>
          <w:szCs w:val="22"/>
        </w:rPr>
        <w:t xml:space="preserve">schválené </w:t>
      </w:r>
      <w:r w:rsidRPr="006603C4">
        <w:rPr>
          <w:i/>
          <w:sz w:val="22"/>
          <w:szCs w:val="22"/>
        </w:rPr>
        <w:t xml:space="preserve">změny </w:t>
      </w:r>
      <w:r w:rsidR="007363A8" w:rsidRPr="006603C4">
        <w:rPr>
          <w:i/>
          <w:sz w:val="22"/>
          <w:szCs w:val="22"/>
        </w:rPr>
        <w:t xml:space="preserve">složení rady programu nebo </w:t>
      </w:r>
      <w:r w:rsidR="00F0566D">
        <w:rPr>
          <w:i/>
          <w:sz w:val="22"/>
          <w:szCs w:val="22"/>
        </w:rPr>
        <w:t>změny na pozicích</w:t>
      </w:r>
      <w:r w:rsidR="007363A8" w:rsidRPr="006603C4">
        <w:rPr>
          <w:i/>
          <w:sz w:val="22"/>
          <w:szCs w:val="22"/>
        </w:rPr>
        <w:t xml:space="preserve"> klíčových řešitelů, kteří nejsou členy rady programu – viz část f) přihlášky programu.</w:t>
      </w:r>
      <w:r w:rsidR="009E47BB">
        <w:rPr>
          <w:i/>
          <w:sz w:val="22"/>
          <w:szCs w:val="22"/>
        </w:rPr>
        <w:t xml:space="preserve"> </w:t>
      </w:r>
    </w:p>
    <w:p w:rsidR="009E47BB" w:rsidRDefault="009E47BB" w:rsidP="00C734E6">
      <w:pPr>
        <w:keepNext/>
        <w:jc w:val="both"/>
        <w:rPr>
          <w:sz w:val="22"/>
          <w:szCs w:val="22"/>
        </w:rPr>
      </w:pPr>
    </w:p>
    <w:p w:rsidR="005562BE" w:rsidRDefault="00CE6C3E" w:rsidP="00B16FCA">
      <w:pPr>
        <w:jc w:val="both"/>
        <w:rPr>
          <w:sz w:val="22"/>
          <w:szCs w:val="22"/>
          <w:lang w:eastAsia="ko-KR"/>
        </w:rPr>
      </w:pPr>
      <w:r w:rsidRPr="00740207">
        <w:rPr>
          <w:sz w:val="22"/>
          <w:szCs w:val="22"/>
        </w:rPr>
        <w:t xml:space="preserve">V hodnoceném období pokračoval prohloubený výzkum klíčových </w:t>
      </w:r>
      <w:r w:rsidRPr="00F62A17">
        <w:rPr>
          <w:b/>
          <w:sz w:val="22"/>
          <w:szCs w:val="22"/>
        </w:rPr>
        <w:t>právních transplantátů</w:t>
      </w:r>
      <w:r w:rsidRPr="00740207">
        <w:rPr>
          <w:sz w:val="22"/>
          <w:szCs w:val="22"/>
        </w:rPr>
        <w:t xml:space="preserve">, ovlivňujících oblast veřejného práva, které byly vytipovány v letech 2012–2013 a rozpracovány v roce 2014. </w:t>
      </w:r>
      <w:r w:rsidR="00471A69" w:rsidRPr="00740207">
        <w:rPr>
          <w:sz w:val="22"/>
          <w:szCs w:val="22"/>
        </w:rPr>
        <w:t xml:space="preserve"> Byla nadále </w:t>
      </w:r>
      <w:r w:rsidR="00740207">
        <w:rPr>
          <w:sz w:val="22"/>
          <w:szCs w:val="22"/>
        </w:rPr>
        <w:t xml:space="preserve">rozvíjena reakce na </w:t>
      </w:r>
      <w:r w:rsidR="00471A69" w:rsidRPr="00740207">
        <w:rPr>
          <w:sz w:val="22"/>
          <w:szCs w:val="22"/>
        </w:rPr>
        <w:t>připomínk</w:t>
      </w:r>
      <w:r w:rsidR="00C44EC4">
        <w:rPr>
          <w:sz w:val="22"/>
          <w:szCs w:val="22"/>
        </w:rPr>
        <w:t>u</w:t>
      </w:r>
      <w:r w:rsidR="00471A69" w:rsidRPr="00740207">
        <w:rPr>
          <w:sz w:val="22"/>
          <w:szCs w:val="22"/>
        </w:rPr>
        <w:t xml:space="preserve"> k uskutečňování programu P06 za rok 201</w:t>
      </w:r>
      <w:r w:rsidR="00C44EC4">
        <w:rPr>
          <w:sz w:val="22"/>
          <w:szCs w:val="22"/>
        </w:rPr>
        <w:t>3</w:t>
      </w:r>
      <w:r w:rsidR="00471A69" w:rsidRPr="00740207">
        <w:rPr>
          <w:sz w:val="22"/>
          <w:szCs w:val="22"/>
        </w:rPr>
        <w:t xml:space="preserve">, podle níž je v publikacích třeba zahrnout </w:t>
      </w:r>
      <w:r w:rsidR="00C44EC4">
        <w:rPr>
          <w:sz w:val="22"/>
          <w:szCs w:val="22"/>
        </w:rPr>
        <w:t>také</w:t>
      </w:r>
      <w:r w:rsidR="00471A69" w:rsidRPr="00740207">
        <w:rPr>
          <w:sz w:val="22"/>
          <w:szCs w:val="22"/>
        </w:rPr>
        <w:t xml:space="preserve"> témata, která by se věnovala kontextu europeizace a</w:t>
      </w:r>
      <w:r w:rsidR="00575135">
        <w:rPr>
          <w:sz w:val="22"/>
          <w:szCs w:val="22"/>
        </w:rPr>
        <w:t> </w:t>
      </w:r>
      <w:r w:rsidR="00471A69" w:rsidRPr="00740207">
        <w:rPr>
          <w:sz w:val="22"/>
          <w:szCs w:val="22"/>
        </w:rPr>
        <w:t xml:space="preserve">globalizace v jiných zemích, případně srovnávala jednotlivé přístupy. Ve spojení s </w:t>
      </w:r>
      <w:r w:rsidR="00740207" w:rsidRPr="00740207">
        <w:rPr>
          <w:sz w:val="22"/>
          <w:szCs w:val="22"/>
        </w:rPr>
        <w:t xml:space="preserve">realizací profilového oboru výzkumu na Univerzitě Karlově „Právní systémy Dálného východu a evropské právo“ byl vytvořen a odevzdán do nakladatelství Karolinum první díl dvoudílné monografie </w:t>
      </w:r>
      <w:r w:rsidR="00740207" w:rsidRPr="00740207">
        <w:rPr>
          <w:i/>
          <w:sz w:val="22"/>
          <w:szCs w:val="22"/>
        </w:rPr>
        <w:t>Právní systémy Dálného východu</w:t>
      </w:r>
      <w:r w:rsidR="00740207" w:rsidRPr="00740207">
        <w:rPr>
          <w:sz w:val="22"/>
          <w:szCs w:val="22"/>
        </w:rPr>
        <w:t xml:space="preserve"> jediného autora prof. </w:t>
      </w:r>
      <w:r w:rsidR="00B16FCA">
        <w:rPr>
          <w:sz w:val="22"/>
          <w:szCs w:val="22"/>
        </w:rPr>
        <w:t xml:space="preserve">Tomáška o předpokládaném rozsahu 450 stran. </w:t>
      </w:r>
      <w:r w:rsidRPr="00504613">
        <w:rPr>
          <w:sz w:val="22"/>
          <w:szCs w:val="22"/>
        </w:rPr>
        <w:t xml:space="preserve">Metoda výzkumu </w:t>
      </w:r>
      <w:r>
        <w:rPr>
          <w:sz w:val="22"/>
          <w:szCs w:val="22"/>
        </w:rPr>
        <w:t xml:space="preserve">kontinuálně pokračovala analýzou </w:t>
      </w:r>
      <w:r w:rsidRPr="00504613">
        <w:rPr>
          <w:sz w:val="22"/>
          <w:szCs w:val="22"/>
        </w:rPr>
        <w:t>jejich projev</w:t>
      </w:r>
      <w:r w:rsidR="00F4652D">
        <w:rPr>
          <w:sz w:val="22"/>
          <w:szCs w:val="22"/>
        </w:rPr>
        <w:t>ů</w:t>
      </w:r>
      <w:r w:rsidRPr="00504613">
        <w:rPr>
          <w:sz w:val="22"/>
          <w:szCs w:val="22"/>
        </w:rPr>
        <w:t xml:space="preserve"> na vstupech a výstupech mezi jednotlivými obory veřejného práva, ale také na vstupech a výstupech k těm okruhům právní vědy, které jsou předmětem jiných programů PRVOUK, jmenovitě práva ústavního a teorie práva (P04) nebo soukromého práva (P05). Priorita byla přitom, stejně jako v předchozí</w:t>
      </w:r>
      <w:r w:rsidR="00F4652D">
        <w:rPr>
          <w:sz w:val="22"/>
          <w:szCs w:val="22"/>
        </w:rPr>
        <w:t>ch</w:t>
      </w:r>
      <w:r w:rsidRPr="00504613">
        <w:rPr>
          <w:sz w:val="22"/>
          <w:szCs w:val="22"/>
        </w:rPr>
        <w:t xml:space="preserve"> období</w:t>
      </w:r>
      <w:r w:rsidR="00F4652D">
        <w:rPr>
          <w:sz w:val="22"/>
          <w:szCs w:val="22"/>
        </w:rPr>
        <w:t>ch</w:t>
      </w:r>
      <w:r w:rsidRPr="00504613">
        <w:rPr>
          <w:sz w:val="22"/>
          <w:szCs w:val="22"/>
        </w:rPr>
        <w:t xml:space="preserve">, dána těm okruhům, kde byla zřetelná vyšší poptávka teorie či praxe. </w:t>
      </w:r>
      <w:r w:rsidRPr="00504613">
        <w:rPr>
          <w:sz w:val="22"/>
          <w:szCs w:val="22"/>
          <w:lang w:eastAsia="ko-KR"/>
        </w:rPr>
        <w:t>Obdobně jako v předchozí</w:t>
      </w:r>
      <w:r w:rsidR="00F4652D">
        <w:rPr>
          <w:sz w:val="22"/>
          <w:szCs w:val="22"/>
          <w:lang w:eastAsia="ko-KR"/>
        </w:rPr>
        <w:t>ch</w:t>
      </w:r>
      <w:r w:rsidRPr="00504613">
        <w:rPr>
          <w:sz w:val="22"/>
          <w:szCs w:val="22"/>
          <w:lang w:eastAsia="ko-KR"/>
        </w:rPr>
        <w:t xml:space="preserve"> hodnocen</w:t>
      </w:r>
      <w:r w:rsidR="00F4652D">
        <w:rPr>
          <w:sz w:val="22"/>
          <w:szCs w:val="22"/>
          <w:lang w:eastAsia="ko-KR"/>
        </w:rPr>
        <w:t>ých</w:t>
      </w:r>
      <w:r w:rsidRPr="00504613">
        <w:rPr>
          <w:sz w:val="22"/>
          <w:szCs w:val="22"/>
          <w:lang w:eastAsia="ko-KR"/>
        </w:rPr>
        <w:t xml:space="preserve"> období</w:t>
      </w:r>
      <w:r w:rsidR="00F4652D">
        <w:rPr>
          <w:sz w:val="22"/>
          <w:szCs w:val="22"/>
          <w:lang w:eastAsia="ko-KR"/>
        </w:rPr>
        <w:t>ch</w:t>
      </w:r>
      <w:r w:rsidRPr="00504613">
        <w:rPr>
          <w:sz w:val="22"/>
          <w:szCs w:val="22"/>
          <w:lang w:eastAsia="ko-KR"/>
        </w:rPr>
        <w:t xml:space="preserve"> byl kladen důraz na</w:t>
      </w:r>
      <w:r>
        <w:rPr>
          <w:sz w:val="22"/>
          <w:szCs w:val="22"/>
          <w:lang w:eastAsia="ko-KR"/>
        </w:rPr>
        <w:t xml:space="preserve"> spolupráci s programy P04 a P05</w:t>
      </w:r>
      <w:r w:rsidRPr="00504613">
        <w:rPr>
          <w:sz w:val="22"/>
          <w:szCs w:val="22"/>
          <w:lang w:eastAsia="ko-KR"/>
        </w:rPr>
        <w:t>. Nejvýznamnějším příkladem této spolupráce se stal</w:t>
      </w:r>
      <w:r w:rsidR="00D54F27">
        <w:rPr>
          <w:sz w:val="22"/>
          <w:szCs w:val="22"/>
          <w:lang w:eastAsia="ko-KR"/>
        </w:rPr>
        <w:t xml:space="preserve">y monografie </w:t>
      </w:r>
      <w:r w:rsidR="00D54F27" w:rsidRPr="00D54F27">
        <w:rPr>
          <w:i/>
          <w:sz w:val="22"/>
          <w:szCs w:val="22"/>
        </w:rPr>
        <w:t>Law crossing Eurasia: From Korea to the Czech Republic</w:t>
      </w:r>
      <w:r w:rsidR="00D54F27">
        <w:rPr>
          <w:sz w:val="22"/>
          <w:szCs w:val="22"/>
        </w:rPr>
        <w:t xml:space="preserve"> autorského kolektivu pod vedením prof. Jaewana Moona z Hankuk University for Foreign Studies v Soulu a prof. Michala Tomáška a monografie </w:t>
      </w:r>
      <w:r w:rsidR="00D54F27" w:rsidRPr="00D54F27">
        <w:rPr>
          <w:i/>
          <w:sz w:val="22"/>
          <w:szCs w:val="22"/>
        </w:rPr>
        <w:t>Rule of Law and Mechanisms of its Protection</w:t>
      </w:r>
      <w:r w:rsidR="005562BE">
        <w:rPr>
          <w:i/>
          <w:sz w:val="22"/>
          <w:szCs w:val="22"/>
        </w:rPr>
        <w:t xml:space="preserve"> </w:t>
      </w:r>
      <w:r w:rsidR="00575135">
        <w:rPr>
          <w:i/>
          <w:sz w:val="22"/>
          <w:szCs w:val="22"/>
        </w:rPr>
        <w:t>–</w:t>
      </w:r>
      <w:r w:rsidR="00D54F27" w:rsidRPr="00D54F27">
        <w:rPr>
          <w:i/>
          <w:sz w:val="22"/>
          <w:szCs w:val="22"/>
        </w:rPr>
        <w:t xml:space="preserve"> Czech Perspective</w:t>
      </w:r>
      <w:r w:rsidR="00D54F27">
        <w:rPr>
          <w:i/>
          <w:sz w:val="22"/>
          <w:szCs w:val="22"/>
        </w:rPr>
        <w:t xml:space="preserve"> </w:t>
      </w:r>
      <w:r w:rsidR="00D54F27">
        <w:rPr>
          <w:sz w:val="22"/>
          <w:szCs w:val="22"/>
        </w:rPr>
        <w:t>autorského kolektivu pod vedením doc. Lenky Pítrové.</w:t>
      </w:r>
      <w:r w:rsidR="00F46EB3">
        <w:rPr>
          <w:sz w:val="22"/>
          <w:szCs w:val="22"/>
        </w:rPr>
        <w:t xml:space="preserve"> Obě anglicky psané monografie vyšly v Německu a jsou indexovány v Německé národní knihovně. Z četných konferencí, organizovaných ve spolupráci s </w:t>
      </w:r>
      <w:r w:rsidR="00F46EB3">
        <w:rPr>
          <w:sz w:val="22"/>
          <w:szCs w:val="22"/>
          <w:lang w:eastAsia="ko-KR"/>
        </w:rPr>
        <w:t>P04, P05 je třeba vyzdvihnou</w:t>
      </w:r>
      <w:r w:rsidR="00D6639D">
        <w:rPr>
          <w:sz w:val="22"/>
          <w:szCs w:val="22"/>
          <w:lang w:eastAsia="ko-KR"/>
        </w:rPr>
        <w:t>t</w:t>
      </w:r>
      <w:r w:rsidR="00F46EB3">
        <w:rPr>
          <w:sz w:val="22"/>
          <w:szCs w:val="22"/>
          <w:lang w:eastAsia="ko-KR"/>
        </w:rPr>
        <w:t xml:space="preserve"> česko-francouzské </w:t>
      </w:r>
      <w:r w:rsidR="006D4F1A">
        <w:rPr>
          <w:sz w:val="22"/>
          <w:szCs w:val="22"/>
          <w:lang w:eastAsia="ko-KR"/>
        </w:rPr>
        <w:t>kolokvium</w:t>
      </w:r>
      <w:r w:rsidR="00F46EB3">
        <w:rPr>
          <w:sz w:val="22"/>
          <w:szCs w:val="22"/>
          <w:lang w:eastAsia="ko-KR"/>
        </w:rPr>
        <w:t xml:space="preserve"> </w:t>
      </w:r>
      <w:r w:rsidR="00D6639D" w:rsidRPr="00D6639D">
        <w:rPr>
          <w:i/>
          <w:sz w:val="22"/>
          <w:szCs w:val="22"/>
        </w:rPr>
        <w:t>Quelle liberté dans l´Europe du XXI</w:t>
      </w:r>
      <w:r w:rsidR="00D6639D" w:rsidRPr="00D6639D">
        <w:rPr>
          <w:rFonts w:eastAsia="DFKai-SB"/>
          <w:i/>
          <w:sz w:val="22"/>
          <w:szCs w:val="22"/>
          <w:vertAlign w:val="superscript"/>
        </w:rPr>
        <w:t>ème</w:t>
      </w:r>
      <w:r w:rsidR="00D6639D" w:rsidRPr="00D6639D">
        <w:rPr>
          <w:i/>
          <w:sz w:val="22"/>
          <w:szCs w:val="22"/>
        </w:rPr>
        <w:t xml:space="preserve"> si</w:t>
      </w:r>
      <w:r w:rsidR="00D6639D" w:rsidRPr="00D6639D">
        <w:rPr>
          <w:rFonts w:eastAsia="DFKai-SB"/>
          <w:i/>
          <w:sz w:val="22"/>
          <w:szCs w:val="22"/>
        </w:rPr>
        <w:t>è</w:t>
      </w:r>
      <w:r w:rsidR="00D6639D" w:rsidRPr="00D6639D">
        <w:rPr>
          <w:i/>
          <w:sz w:val="22"/>
          <w:szCs w:val="22"/>
        </w:rPr>
        <w:t>cle</w:t>
      </w:r>
      <w:r w:rsidR="00D6639D">
        <w:rPr>
          <w:sz w:val="22"/>
          <w:szCs w:val="22"/>
        </w:rPr>
        <w:t>, organizované ve spolupráci s Université Paris II, Panthéon-Assas</w:t>
      </w:r>
      <w:r w:rsidR="00575135">
        <w:rPr>
          <w:sz w:val="22"/>
          <w:szCs w:val="22"/>
        </w:rPr>
        <w:t>,</w:t>
      </w:r>
      <w:r w:rsidR="00D6639D">
        <w:rPr>
          <w:sz w:val="22"/>
          <w:szCs w:val="22"/>
        </w:rPr>
        <w:t xml:space="preserve"> a</w:t>
      </w:r>
      <w:r w:rsidR="00575135">
        <w:rPr>
          <w:sz w:val="22"/>
          <w:szCs w:val="22"/>
        </w:rPr>
        <w:t> </w:t>
      </w:r>
      <w:r w:rsidR="006D4F1A">
        <w:rPr>
          <w:sz w:val="22"/>
          <w:szCs w:val="22"/>
        </w:rPr>
        <w:t>konferenci Hans</w:t>
      </w:r>
      <w:r w:rsidR="00D6639D" w:rsidRPr="00D6639D">
        <w:rPr>
          <w:bCs/>
          <w:i/>
          <w:sz w:val="22"/>
          <w:szCs w:val="22"/>
        </w:rPr>
        <w:t xml:space="preserve"> Kelsen </w:t>
      </w:r>
      <w:r w:rsidR="00575135">
        <w:rPr>
          <w:bCs/>
          <w:i/>
          <w:sz w:val="22"/>
          <w:szCs w:val="22"/>
        </w:rPr>
        <w:t>–</w:t>
      </w:r>
      <w:r w:rsidR="00D6639D" w:rsidRPr="00D6639D">
        <w:rPr>
          <w:bCs/>
          <w:i/>
          <w:sz w:val="22"/>
          <w:szCs w:val="22"/>
        </w:rPr>
        <w:t xml:space="preserve"> eine inspirierende Persönlichkeit für Rechtslehre, Philosophie, Politik und Internationale Beziehungen</w:t>
      </w:r>
      <w:r w:rsidR="00D6639D">
        <w:rPr>
          <w:bCs/>
          <w:sz w:val="22"/>
          <w:szCs w:val="22"/>
        </w:rPr>
        <w:t>, organizovanou ve spolupráci s Rakouským kulturním f</w:t>
      </w:r>
      <w:r w:rsidR="00D85DFD">
        <w:rPr>
          <w:bCs/>
          <w:sz w:val="22"/>
          <w:szCs w:val="22"/>
        </w:rPr>
        <w:t>ór</w:t>
      </w:r>
      <w:r w:rsidR="00D6639D">
        <w:rPr>
          <w:bCs/>
          <w:sz w:val="22"/>
          <w:szCs w:val="22"/>
        </w:rPr>
        <w:t>em v Praze.</w:t>
      </w:r>
      <w:r w:rsidR="00D6639D">
        <w:rPr>
          <w:bCs/>
          <w:i/>
          <w:sz w:val="22"/>
          <w:szCs w:val="22"/>
        </w:rPr>
        <w:t xml:space="preserve"> </w:t>
      </w:r>
      <w:r w:rsidR="005562BE">
        <w:rPr>
          <w:sz w:val="22"/>
          <w:szCs w:val="22"/>
          <w:lang w:eastAsia="ko-KR"/>
        </w:rPr>
        <w:t>Vyšší st</w:t>
      </w:r>
      <w:r w:rsidR="00575135">
        <w:rPr>
          <w:sz w:val="22"/>
          <w:szCs w:val="22"/>
          <w:lang w:eastAsia="ko-KR"/>
        </w:rPr>
        <w:t>a</w:t>
      </w:r>
      <w:r w:rsidR="005562BE">
        <w:rPr>
          <w:sz w:val="22"/>
          <w:szCs w:val="22"/>
          <w:lang w:eastAsia="ko-KR"/>
        </w:rPr>
        <w:t xml:space="preserve">dium výzkumu umožnilo zamyslet se s větší abstrakcí nad problémem dualismu práva </w:t>
      </w:r>
      <w:r w:rsidR="005562BE">
        <w:rPr>
          <w:sz w:val="22"/>
          <w:szCs w:val="22"/>
          <w:lang w:eastAsia="ko-KR"/>
        </w:rPr>
        <w:lastRenderedPageBreak/>
        <w:t>veřejného a soukromého, který je pod vlivem europeizace stále více relativizován. Hlubší analýzu tohoto problému by měla v rámci programů P04, P05 a P06 přispět závěrečná konference PRVOUKů, řešených PF UK o vztahu práva soukromého a veřejného, připravovaná na říjen 2016.</w:t>
      </w:r>
    </w:p>
    <w:p w:rsidR="003F0499" w:rsidRDefault="003F0499" w:rsidP="00B16FCA">
      <w:pPr>
        <w:jc w:val="both"/>
        <w:rPr>
          <w:sz w:val="22"/>
          <w:szCs w:val="22"/>
          <w:lang w:eastAsia="ko-KR"/>
        </w:rPr>
      </w:pPr>
    </w:p>
    <w:p w:rsidR="0000387D" w:rsidRPr="008E2BDB" w:rsidRDefault="004A0B3F" w:rsidP="003F0499">
      <w:pPr>
        <w:pStyle w:val="Normlnweb"/>
        <w:spacing w:before="0" w:beforeAutospacing="0" w:after="0"/>
        <w:jc w:val="both"/>
        <w:rPr>
          <w:sz w:val="22"/>
          <w:szCs w:val="22"/>
        </w:rPr>
      </w:pPr>
      <w:r w:rsidRPr="008E2BDB">
        <w:rPr>
          <w:sz w:val="22"/>
          <w:szCs w:val="22"/>
        </w:rPr>
        <w:t xml:space="preserve">Základní směry a výsledky výzkumu </w:t>
      </w:r>
      <w:r w:rsidRPr="008E2BDB">
        <w:rPr>
          <w:b/>
          <w:sz w:val="22"/>
          <w:szCs w:val="22"/>
        </w:rPr>
        <w:t>evropských aspektů ústavního vývoje ČR</w:t>
      </w:r>
      <w:r w:rsidRPr="008E2BDB">
        <w:rPr>
          <w:sz w:val="22"/>
          <w:szCs w:val="22"/>
        </w:rPr>
        <w:t xml:space="preserve"> (</w:t>
      </w:r>
      <w:r w:rsidR="00AE7F5A">
        <w:rPr>
          <w:sz w:val="22"/>
          <w:szCs w:val="22"/>
        </w:rPr>
        <w:t xml:space="preserve">obory </w:t>
      </w:r>
      <w:r w:rsidRPr="008E2BDB">
        <w:rPr>
          <w:sz w:val="22"/>
          <w:szCs w:val="22"/>
        </w:rPr>
        <w:t>evropské právo, ústavní právo) byly v roce 201</w:t>
      </w:r>
      <w:r w:rsidR="0000387D" w:rsidRPr="008E2BDB">
        <w:rPr>
          <w:sz w:val="22"/>
          <w:szCs w:val="22"/>
        </w:rPr>
        <w:t>5 i nadále</w:t>
      </w:r>
      <w:r w:rsidRPr="008E2BDB">
        <w:rPr>
          <w:sz w:val="22"/>
          <w:szCs w:val="22"/>
        </w:rPr>
        <w:t xml:space="preserve"> zaměřeny </w:t>
      </w:r>
      <w:r w:rsidR="0000387D" w:rsidRPr="008E2BDB">
        <w:rPr>
          <w:sz w:val="22"/>
          <w:szCs w:val="22"/>
        </w:rPr>
        <w:t xml:space="preserve">na </w:t>
      </w:r>
      <w:r w:rsidRPr="008E2BDB">
        <w:rPr>
          <w:sz w:val="22"/>
          <w:szCs w:val="22"/>
        </w:rPr>
        <w:t>oblast europeizac</w:t>
      </w:r>
      <w:r w:rsidR="0000387D" w:rsidRPr="008E2BDB">
        <w:rPr>
          <w:sz w:val="22"/>
          <w:szCs w:val="22"/>
        </w:rPr>
        <w:t>e</w:t>
      </w:r>
      <w:r w:rsidRPr="008E2BDB">
        <w:rPr>
          <w:sz w:val="22"/>
          <w:szCs w:val="22"/>
        </w:rPr>
        <w:t xml:space="preserve"> ústavního řádu ČR a</w:t>
      </w:r>
      <w:r w:rsidR="00575135">
        <w:rPr>
          <w:sz w:val="22"/>
          <w:szCs w:val="22"/>
        </w:rPr>
        <w:t> </w:t>
      </w:r>
      <w:r w:rsidRPr="008E2BDB">
        <w:rPr>
          <w:sz w:val="22"/>
          <w:szCs w:val="22"/>
        </w:rPr>
        <w:t>současnou problematiku občanských a lidských práv v souvislosti se změnami v evropském a</w:t>
      </w:r>
      <w:r w:rsidR="00575135">
        <w:rPr>
          <w:sz w:val="22"/>
          <w:szCs w:val="22"/>
        </w:rPr>
        <w:t> </w:t>
      </w:r>
      <w:r w:rsidRPr="008E2BDB">
        <w:rPr>
          <w:sz w:val="22"/>
          <w:szCs w:val="22"/>
        </w:rPr>
        <w:t xml:space="preserve">globálním kontextu. </w:t>
      </w:r>
      <w:r w:rsidR="00892E47" w:rsidRPr="008E2BDB">
        <w:rPr>
          <w:sz w:val="22"/>
          <w:szCs w:val="22"/>
        </w:rPr>
        <w:t xml:space="preserve">Problém europeizace ústavního řádu </w:t>
      </w:r>
      <w:r w:rsidR="00575135">
        <w:rPr>
          <w:sz w:val="22"/>
          <w:szCs w:val="22"/>
        </w:rPr>
        <w:t xml:space="preserve">byl </w:t>
      </w:r>
      <w:r w:rsidR="00892E47" w:rsidRPr="008E2BDB">
        <w:rPr>
          <w:sz w:val="22"/>
          <w:szCs w:val="22"/>
        </w:rPr>
        <w:t xml:space="preserve">zkoumán i na pozadí </w:t>
      </w:r>
      <w:r w:rsidR="00892E47" w:rsidRPr="008E2BDB">
        <w:rPr>
          <w:rStyle w:val="Siln"/>
          <w:b w:val="0"/>
          <w:sz w:val="22"/>
          <w:szCs w:val="22"/>
        </w:rPr>
        <w:t>Posudku Soudního dvora Evropské unie (SDEU) z 18. prosince 2014, vydan</w:t>
      </w:r>
      <w:r w:rsidR="000C0E52">
        <w:rPr>
          <w:rStyle w:val="Siln"/>
          <w:b w:val="0"/>
          <w:sz w:val="22"/>
          <w:szCs w:val="22"/>
        </w:rPr>
        <w:t xml:space="preserve">ého </w:t>
      </w:r>
      <w:r w:rsidR="00892E47" w:rsidRPr="008E2BDB">
        <w:rPr>
          <w:rStyle w:val="Siln"/>
          <w:b w:val="0"/>
          <w:sz w:val="22"/>
          <w:szCs w:val="22"/>
        </w:rPr>
        <w:t>na základě čl. 218 odst. 11 Smlouvy o fungování EU, ve věci slučitelnosti návrhu mezinárodní dohody o přistoupení Evropské unie k Evropské úmluvě o ochraně lidských práv a základních svobod</w:t>
      </w:r>
      <w:r w:rsidR="00CA4094" w:rsidRPr="008E2BDB">
        <w:rPr>
          <w:sz w:val="22"/>
          <w:szCs w:val="22"/>
        </w:rPr>
        <w:t>.</w:t>
      </w:r>
      <w:r w:rsidR="00892E47" w:rsidRPr="008E2BDB">
        <w:rPr>
          <w:sz w:val="22"/>
          <w:szCs w:val="22"/>
        </w:rPr>
        <w:t xml:space="preserve"> </w:t>
      </w:r>
      <w:r w:rsidR="00790087" w:rsidRPr="008E2BDB">
        <w:rPr>
          <w:sz w:val="22"/>
          <w:szCs w:val="22"/>
        </w:rPr>
        <w:t xml:space="preserve">Podle Soudního dvora přístup zvolený v rámci dohody staví Unii na roveň státu, což nerespektuje právě to, co je vlastní povaze Unie. Kdyby se Unie měla podrobit externí kontrole v rámci mechanismu EÚLP jako kterýkoliv účastnický stát, byla by vlastně sama státem, jímž není. To bylo východiskem pro zkoumání nových jevů ústavnosti a státnosti EU, jehož výsledkem je stať prof. Tomáška </w:t>
      </w:r>
      <w:r w:rsidR="008E2BDB" w:rsidRPr="008E2BDB">
        <w:rPr>
          <w:i/>
          <w:sz w:val="22"/>
          <w:szCs w:val="22"/>
        </w:rPr>
        <w:t>European Union as an Entity</w:t>
      </w:r>
      <w:r w:rsidR="008E2BDB" w:rsidRPr="008E2BDB">
        <w:rPr>
          <w:sz w:val="22"/>
          <w:szCs w:val="22"/>
        </w:rPr>
        <w:t xml:space="preserve"> „</w:t>
      </w:r>
      <w:r w:rsidR="008E2BDB" w:rsidRPr="008E2BDB">
        <w:rPr>
          <w:i/>
          <w:sz w:val="22"/>
          <w:szCs w:val="22"/>
        </w:rPr>
        <w:t>sui generis</w:t>
      </w:r>
      <w:r w:rsidR="008E2BDB" w:rsidRPr="008E2BDB">
        <w:rPr>
          <w:sz w:val="22"/>
          <w:szCs w:val="22"/>
        </w:rPr>
        <w:t xml:space="preserve">“ přijatá k publikaci v jihokorejském vědeckém časopise HUFS Law Review. </w:t>
      </w:r>
      <w:r w:rsidR="008E2BDB">
        <w:rPr>
          <w:sz w:val="22"/>
          <w:szCs w:val="22"/>
        </w:rPr>
        <w:t>V</w:t>
      </w:r>
      <w:r w:rsidR="00575135">
        <w:rPr>
          <w:sz w:val="22"/>
          <w:szCs w:val="22"/>
        </w:rPr>
        <w:t> </w:t>
      </w:r>
      <w:r w:rsidR="0000387D" w:rsidRPr="008E2BDB">
        <w:rPr>
          <w:sz w:val="22"/>
          <w:szCs w:val="22"/>
        </w:rPr>
        <w:t xml:space="preserve">návaznosti na monografii </w:t>
      </w:r>
      <w:r w:rsidR="0000387D" w:rsidRPr="008E2BDB">
        <w:rPr>
          <w:i/>
          <w:sz w:val="22"/>
          <w:szCs w:val="22"/>
        </w:rPr>
        <w:t xml:space="preserve">Občanská a lidská práva v současné době </w:t>
      </w:r>
      <w:r w:rsidR="0000387D" w:rsidRPr="008E2BDB">
        <w:rPr>
          <w:sz w:val="22"/>
          <w:szCs w:val="22"/>
        </w:rPr>
        <w:t xml:space="preserve">autorského kolektivu pod vedením prof. Pavlíčka a doc. Hofmannové se výzkum základních práv a svobod soustředil i na dosud méně probádané oblasti, kupříkladu aspekty práva na majetek ve vztahu k vyvlastnění. Konkrétním výstupem byla kapitola autorů prof. Pavlíčka a dr. Šouši v monografii </w:t>
      </w:r>
      <w:r w:rsidR="0000387D" w:rsidRPr="008E2BDB">
        <w:rPr>
          <w:i/>
          <w:sz w:val="22"/>
          <w:szCs w:val="22"/>
        </w:rPr>
        <w:t>Expropriation Law in Europe</w:t>
      </w:r>
      <w:r w:rsidR="0000387D" w:rsidRPr="008E2BDB">
        <w:rPr>
          <w:sz w:val="22"/>
          <w:szCs w:val="22"/>
        </w:rPr>
        <w:t>, publikovaná v Nizozemsku.</w:t>
      </w:r>
    </w:p>
    <w:p w:rsidR="00D54F27" w:rsidRDefault="00D54F27" w:rsidP="00CE6C3E">
      <w:pPr>
        <w:keepNext/>
        <w:spacing w:line="276" w:lineRule="auto"/>
        <w:jc w:val="both"/>
        <w:rPr>
          <w:sz w:val="22"/>
          <w:szCs w:val="22"/>
          <w:lang w:eastAsia="ko-KR"/>
        </w:rPr>
      </w:pPr>
      <w:r>
        <w:rPr>
          <w:sz w:val="22"/>
          <w:szCs w:val="22"/>
          <w:lang w:eastAsia="ko-KR"/>
        </w:rPr>
        <w:t xml:space="preserve"> </w:t>
      </w:r>
    </w:p>
    <w:p w:rsidR="00F66B61" w:rsidRDefault="00584F67" w:rsidP="00F66B61">
      <w:pPr>
        <w:jc w:val="both"/>
        <w:rPr>
          <w:sz w:val="22"/>
          <w:szCs w:val="22"/>
        </w:rPr>
      </w:pPr>
      <w:r w:rsidRPr="003F0499">
        <w:rPr>
          <w:sz w:val="22"/>
          <w:szCs w:val="22"/>
        </w:rPr>
        <w:t xml:space="preserve">Pokud jde o problematiku </w:t>
      </w:r>
      <w:r w:rsidRPr="003F0499">
        <w:rPr>
          <w:b/>
          <w:sz w:val="22"/>
          <w:szCs w:val="22"/>
        </w:rPr>
        <w:t>veřejnoprávního versus soukromoprávního</w:t>
      </w:r>
      <w:r w:rsidRPr="003F0499">
        <w:rPr>
          <w:sz w:val="22"/>
          <w:szCs w:val="22"/>
        </w:rPr>
        <w:t xml:space="preserve"> </w:t>
      </w:r>
      <w:r w:rsidRPr="003F0499">
        <w:rPr>
          <w:b/>
          <w:sz w:val="22"/>
          <w:szCs w:val="22"/>
        </w:rPr>
        <w:t>uplatňování</w:t>
      </w:r>
      <w:r w:rsidRPr="003F0499">
        <w:rPr>
          <w:sz w:val="22"/>
          <w:szCs w:val="22"/>
        </w:rPr>
        <w:t xml:space="preserve"> </w:t>
      </w:r>
      <w:r w:rsidRPr="003F0499">
        <w:rPr>
          <w:b/>
          <w:sz w:val="22"/>
          <w:szCs w:val="22"/>
        </w:rPr>
        <w:t>práva</w:t>
      </w:r>
      <w:r w:rsidRPr="003F0499">
        <w:rPr>
          <w:sz w:val="22"/>
          <w:szCs w:val="22"/>
        </w:rPr>
        <w:t xml:space="preserve"> (obory evropské právo a správní právo)</w:t>
      </w:r>
      <w:r w:rsidR="00F66B61" w:rsidRPr="003F0499">
        <w:rPr>
          <w:sz w:val="22"/>
          <w:szCs w:val="22"/>
        </w:rPr>
        <w:t>, soustředil se výzkum na problémy plynoucí z teoretických a</w:t>
      </w:r>
      <w:r w:rsidR="0087512D">
        <w:rPr>
          <w:sz w:val="22"/>
          <w:szCs w:val="22"/>
        </w:rPr>
        <w:t> </w:t>
      </w:r>
      <w:r w:rsidR="00F66B61" w:rsidRPr="003F0499">
        <w:rPr>
          <w:sz w:val="22"/>
          <w:szCs w:val="22"/>
        </w:rPr>
        <w:t>aplikačních souvislostí mezi právem veřejným a právem soukromým. Pozornost byla věnována tématům právního postavení právnických osob z hlediska práva veřejného v kontextu soukromého práva. Dále pak otázkám právních jednání ve vazbě na jejich veřejnoprávní, resp. soukromoprávní povahy a na povahu jejich důsledků. V této souvislosti byla posuzována celá řada otázek. Zda povaha správní činnosti předurčuje výlučný charakter jejích právních důsledků, nebo naopak, anebo zda může mít správní činnost „obojí“ právní důsledky. Dále pak, jaké jsou procesní důsledky správní činnosti té či oné povahy a zda lze procesní důsledky správní činnosti relativizovat. A konečně, jaký je vztah „separačního“ ustanovení občanského zákoníku deklarujícího nezávislost uplatňování soukromého práva na uplatňování veřejného práva ke správní činnosti a jaký může mít toto ustanovení vliv na realizaci správní činnosti, popřípadě perspektivně i na její právní úpravu. S výše uvedenými problémy nerozlučně souvisí i otázka odpovědnosti za veřejnoprávní jednání.</w:t>
      </w:r>
      <w:r w:rsidR="00166464" w:rsidRPr="003F0499">
        <w:rPr>
          <w:sz w:val="22"/>
          <w:szCs w:val="22"/>
        </w:rPr>
        <w:t xml:space="preserve"> </w:t>
      </w:r>
    </w:p>
    <w:p w:rsidR="00AE7F5A" w:rsidRDefault="00AE7F5A" w:rsidP="00F66B61">
      <w:pPr>
        <w:jc w:val="both"/>
        <w:rPr>
          <w:sz w:val="22"/>
          <w:szCs w:val="22"/>
        </w:rPr>
      </w:pPr>
    </w:p>
    <w:p w:rsidR="00F05845" w:rsidRPr="00590D26" w:rsidRDefault="00AE7F5A" w:rsidP="00F05845">
      <w:pPr>
        <w:jc w:val="both"/>
        <w:rPr>
          <w:sz w:val="22"/>
          <w:szCs w:val="22"/>
        </w:rPr>
      </w:pPr>
      <w:r w:rsidRPr="00590D26">
        <w:rPr>
          <w:sz w:val="22"/>
          <w:szCs w:val="22"/>
        </w:rPr>
        <w:t>V</w:t>
      </w:r>
      <w:r w:rsidR="00F05845" w:rsidRPr="00590D26">
        <w:rPr>
          <w:sz w:val="22"/>
          <w:szCs w:val="22"/>
        </w:rPr>
        <w:t xml:space="preserve">ýzkum v </w:t>
      </w:r>
      <w:r w:rsidRPr="00590D26">
        <w:rPr>
          <w:sz w:val="22"/>
          <w:szCs w:val="22"/>
        </w:rPr>
        <w:t xml:space="preserve">oblasti </w:t>
      </w:r>
      <w:r w:rsidRPr="00590D26">
        <w:rPr>
          <w:b/>
          <w:sz w:val="22"/>
          <w:szCs w:val="22"/>
        </w:rPr>
        <w:t xml:space="preserve">práva sociálního zabezpečení </w:t>
      </w:r>
      <w:r w:rsidRPr="00590D26">
        <w:rPr>
          <w:sz w:val="22"/>
          <w:szCs w:val="22"/>
        </w:rPr>
        <w:t>(obory evropské právo, právo sociálního zabezpečení)</w:t>
      </w:r>
      <w:r w:rsidR="00F05845" w:rsidRPr="00590D26">
        <w:rPr>
          <w:sz w:val="22"/>
          <w:szCs w:val="22"/>
        </w:rPr>
        <w:t xml:space="preserve"> navázal na dříve vybrané základní právní transplantáty analyzované v roce 2014. Především na základní principy koordinace sociálního zabezpečení v Evropské unii a jejich aplikaci, která je nezbytná pro zajištění jedné ze čtyř základních svobod EU – svobodu pohybu osob. (Koldinská, K.: </w:t>
      </w:r>
      <w:r w:rsidR="00F05845" w:rsidRPr="00BD0485">
        <w:rPr>
          <w:i/>
          <w:sz w:val="22"/>
          <w:szCs w:val="22"/>
        </w:rPr>
        <w:t>Rovné zacházení v systémech sociální ochrany z hlediska práva EU</w:t>
      </w:r>
      <w:r w:rsidR="00F05845" w:rsidRPr="00590D26">
        <w:rPr>
          <w:sz w:val="22"/>
          <w:szCs w:val="22"/>
        </w:rPr>
        <w:t>, in Barancová,</w:t>
      </w:r>
      <w:r w:rsidR="007D1C9F">
        <w:rPr>
          <w:sz w:val="22"/>
          <w:szCs w:val="22"/>
        </w:rPr>
        <w:t> </w:t>
      </w:r>
      <w:r w:rsidR="00F05845" w:rsidRPr="00590D26">
        <w:rPr>
          <w:sz w:val="22"/>
          <w:szCs w:val="22"/>
        </w:rPr>
        <w:t xml:space="preserve">H. a kol.: </w:t>
      </w:r>
      <w:r w:rsidR="00F05845" w:rsidRPr="00BD0485">
        <w:rPr>
          <w:sz w:val="22"/>
          <w:szCs w:val="22"/>
        </w:rPr>
        <w:t>Uskutečnitelnosť sociálnych práv v systémoch sociálnej bezpečnosti</w:t>
      </w:r>
      <w:r w:rsidR="002C101E">
        <w:rPr>
          <w:sz w:val="22"/>
          <w:szCs w:val="22"/>
        </w:rPr>
        <w:t xml:space="preserve">, </w:t>
      </w:r>
      <w:r w:rsidR="00F05845" w:rsidRPr="00590D26">
        <w:rPr>
          <w:sz w:val="22"/>
          <w:szCs w:val="22"/>
        </w:rPr>
        <w:t>A. Čeněk, Plzeň 2015</w:t>
      </w:r>
      <w:r w:rsidR="007D1C9F">
        <w:rPr>
          <w:sz w:val="22"/>
          <w:szCs w:val="22"/>
        </w:rPr>
        <w:t>)</w:t>
      </w:r>
      <w:r w:rsidR="00F05845" w:rsidRPr="00590D26">
        <w:rPr>
          <w:sz w:val="22"/>
          <w:szCs w:val="22"/>
        </w:rPr>
        <w:t xml:space="preserve">. Zájem řešitelského kolektivu byl rovněž zaměřen na otázku sociálních práv a jejich realizaci (Koldinská, K.: </w:t>
      </w:r>
      <w:r w:rsidR="00F05845" w:rsidRPr="00BD0485">
        <w:rPr>
          <w:i/>
          <w:sz w:val="22"/>
          <w:szCs w:val="22"/>
        </w:rPr>
        <w:t>Občané třetích států a jejich přístup k sociálním právům</w:t>
      </w:r>
      <w:r w:rsidR="00F05845" w:rsidRPr="00590D26">
        <w:rPr>
          <w:sz w:val="22"/>
          <w:szCs w:val="22"/>
        </w:rPr>
        <w:t xml:space="preserve">, in Becker, U., Štefko, M.:  </w:t>
      </w:r>
      <w:r w:rsidR="00F05845" w:rsidRPr="00BD0485">
        <w:rPr>
          <w:sz w:val="22"/>
          <w:szCs w:val="22"/>
        </w:rPr>
        <w:t>Aktuální otázky práva na práci občanů třetích států z pohledu ČR a SRN</w:t>
      </w:r>
      <w:r w:rsidR="002C101E">
        <w:rPr>
          <w:sz w:val="22"/>
          <w:szCs w:val="22"/>
        </w:rPr>
        <w:t>,</w:t>
      </w:r>
      <w:r w:rsidR="00F05845" w:rsidRPr="00590D26">
        <w:rPr>
          <w:sz w:val="22"/>
          <w:szCs w:val="22"/>
        </w:rPr>
        <w:t xml:space="preserve"> Ústav státu a</w:t>
      </w:r>
      <w:r w:rsidR="007D1C9F">
        <w:rPr>
          <w:sz w:val="22"/>
          <w:szCs w:val="22"/>
        </w:rPr>
        <w:t> </w:t>
      </w:r>
      <w:r w:rsidR="00F05845" w:rsidRPr="00590D26">
        <w:rPr>
          <w:sz w:val="22"/>
          <w:szCs w:val="22"/>
        </w:rPr>
        <w:t xml:space="preserve">práva AV ČR, </w:t>
      </w:r>
      <w:r w:rsidR="007D1C9F">
        <w:rPr>
          <w:sz w:val="22"/>
          <w:szCs w:val="22"/>
        </w:rPr>
        <w:t>Praha 2015</w:t>
      </w:r>
      <w:r w:rsidR="00F05845" w:rsidRPr="00590D26">
        <w:rPr>
          <w:sz w:val="22"/>
          <w:szCs w:val="22"/>
        </w:rPr>
        <w:t xml:space="preserve">). Zároveň byla věnována pozornost jedné z nejvýznamnějších otázek sociálního zabezpečení související s realizací sociálních práv – ochraně osob v různých sociálních situacích vznikajících na základě sociálních událostí (hlavní sociální události jsou nemoc, úraz, těhotenství, mateřství, stáří, smrt) a jejich řešení v sociálním zabezpečení. (Štangová, V.: </w:t>
      </w:r>
      <w:r w:rsidR="00F05845" w:rsidRPr="00BD0485">
        <w:rPr>
          <w:i/>
          <w:sz w:val="22"/>
          <w:szCs w:val="22"/>
        </w:rPr>
        <w:t>The rule of law and social protection of individuals in legally recognized social situations</w:t>
      </w:r>
      <w:r w:rsidR="00F05845" w:rsidRPr="00590D26">
        <w:rPr>
          <w:i/>
          <w:sz w:val="22"/>
          <w:szCs w:val="22"/>
        </w:rPr>
        <w:t xml:space="preserve"> </w:t>
      </w:r>
      <w:r w:rsidR="00F05845" w:rsidRPr="00590D26">
        <w:rPr>
          <w:sz w:val="22"/>
          <w:szCs w:val="22"/>
        </w:rPr>
        <w:t>v anglicky psané kolektivní monografii vydané v</w:t>
      </w:r>
      <w:r w:rsidR="007D1C9F">
        <w:rPr>
          <w:sz w:val="22"/>
          <w:szCs w:val="22"/>
        </w:rPr>
        <w:t> </w:t>
      </w:r>
      <w:r w:rsidR="00F05845" w:rsidRPr="00590D26">
        <w:rPr>
          <w:sz w:val="22"/>
          <w:szCs w:val="22"/>
        </w:rPr>
        <w:t>SRN</w:t>
      </w:r>
      <w:r w:rsidR="007D1C9F">
        <w:rPr>
          <w:sz w:val="22"/>
          <w:szCs w:val="22"/>
        </w:rPr>
        <w:t xml:space="preserve">: </w:t>
      </w:r>
      <w:r w:rsidR="007D1C9F" w:rsidRPr="00590D26">
        <w:rPr>
          <w:sz w:val="22"/>
          <w:szCs w:val="22"/>
        </w:rPr>
        <w:t>Pítrová, L.</w:t>
      </w:r>
      <w:r w:rsidR="007D1C9F">
        <w:rPr>
          <w:sz w:val="22"/>
          <w:szCs w:val="22"/>
        </w:rPr>
        <w:t xml:space="preserve"> ed.</w:t>
      </w:r>
      <w:r w:rsidR="00291FCE">
        <w:rPr>
          <w:sz w:val="22"/>
          <w:szCs w:val="22"/>
        </w:rPr>
        <w:t>:</w:t>
      </w:r>
      <w:r w:rsidR="007D1C9F" w:rsidRPr="00590D26">
        <w:rPr>
          <w:sz w:val="22"/>
          <w:szCs w:val="22"/>
        </w:rPr>
        <w:t xml:space="preserve"> </w:t>
      </w:r>
      <w:r w:rsidR="00F05845" w:rsidRPr="00590D26">
        <w:rPr>
          <w:sz w:val="22"/>
          <w:szCs w:val="22"/>
        </w:rPr>
        <w:t xml:space="preserve"> </w:t>
      </w:r>
      <w:r w:rsidR="00F05845" w:rsidRPr="00BD0485">
        <w:rPr>
          <w:sz w:val="22"/>
          <w:szCs w:val="22"/>
        </w:rPr>
        <w:t>Rule of Law and Mechanisms of its Protection</w:t>
      </w:r>
      <w:r w:rsidR="007D1C9F" w:rsidRPr="00BD0485">
        <w:rPr>
          <w:sz w:val="22"/>
          <w:szCs w:val="22"/>
        </w:rPr>
        <w:t xml:space="preserve"> –</w:t>
      </w:r>
      <w:r w:rsidR="00BD0485" w:rsidRPr="00BD0485">
        <w:rPr>
          <w:sz w:val="22"/>
          <w:szCs w:val="22"/>
        </w:rPr>
        <w:t xml:space="preserve"> </w:t>
      </w:r>
      <w:r w:rsidR="007D1C9F" w:rsidRPr="00BD0485">
        <w:rPr>
          <w:sz w:val="22"/>
          <w:szCs w:val="22"/>
        </w:rPr>
        <w:t>Czech Perspective</w:t>
      </w:r>
      <w:r w:rsidR="002C101E">
        <w:rPr>
          <w:sz w:val="22"/>
          <w:szCs w:val="22"/>
        </w:rPr>
        <w:t>, r</w:t>
      </w:r>
      <w:r w:rsidR="00F05845" w:rsidRPr="00590D26">
        <w:rPr>
          <w:sz w:val="22"/>
          <w:szCs w:val="22"/>
        </w:rPr>
        <w:t>w&amp;w Science &amp; New Media, Passau-Berlin-Prague, Německo 2015). Pozornost se zaměřila rovněž na sociální pojištění zahrnující nemocenské pojištění a důchodové pojištění, které je nejdůležitějším subsystémem sociálního zabezpečení (další subsystémy jsou státní sociální podpora a</w:t>
      </w:r>
      <w:r w:rsidR="00291FCE">
        <w:rPr>
          <w:sz w:val="22"/>
          <w:szCs w:val="22"/>
        </w:rPr>
        <w:t> </w:t>
      </w:r>
      <w:r w:rsidR="00F05845" w:rsidRPr="00590D26">
        <w:rPr>
          <w:sz w:val="22"/>
          <w:szCs w:val="22"/>
        </w:rPr>
        <w:t xml:space="preserve">sociální pomoc). Na konferenci k 90. výročí sociálního pojištění v ČR pořádané ve spolupráci </w:t>
      </w:r>
      <w:r w:rsidR="00F05845" w:rsidRPr="00590D26">
        <w:rPr>
          <w:sz w:val="22"/>
          <w:szCs w:val="22"/>
        </w:rPr>
        <w:lastRenderedPageBreak/>
        <w:t>s vedením České správy sociálního zabezpečení v červnu 2015 byl nejen hodnocen vývoj sociálního pojištění, analyzována jeho současná právní úprava, ale také zvažovány a zkoumány perspektivy jeho dalšího vývoje.</w:t>
      </w:r>
      <w:r w:rsidR="007D1C9F">
        <w:rPr>
          <w:sz w:val="22"/>
          <w:szCs w:val="22"/>
        </w:rPr>
        <w:t xml:space="preserve"> </w:t>
      </w:r>
      <w:r w:rsidR="00F05845" w:rsidRPr="00590D26">
        <w:rPr>
          <w:sz w:val="22"/>
          <w:szCs w:val="22"/>
        </w:rPr>
        <w:t>Výzkum byl rovněž zaměřen na důchodovou reformu v ČR. Proces její přípravy a</w:t>
      </w:r>
      <w:r w:rsidR="007D1C9F">
        <w:rPr>
          <w:sz w:val="22"/>
          <w:szCs w:val="22"/>
        </w:rPr>
        <w:t> </w:t>
      </w:r>
      <w:r w:rsidR="00F05845" w:rsidRPr="00590D26">
        <w:rPr>
          <w:sz w:val="22"/>
          <w:szCs w:val="22"/>
        </w:rPr>
        <w:t xml:space="preserve">realizace je úkol neobyčejně náročný a dlouhodobý, podílí se na něm řada odborníků i politiků, je pozorně sledován nejširší veřejností. Mnohá opatření již byla učiněna, ale důchodová reforma pokračuje – aktuálním úkolem je příprava nové koncepce stanovení důchodového věku. Navrhovaná právní úprava si klade za cíl zavést revizní systém stanovení důchodového věku v návaznosti na demografický vývoj. Je nanejvýš nutné, aby byl při uskutečňování důchodové reformy sledován princip sociální spravedlnosti a princip důstojnosti člověka </w:t>
      </w:r>
      <w:r w:rsidR="00F05845" w:rsidRPr="000D2E4D">
        <w:rPr>
          <w:sz w:val="22"/>
          <w:szCs w:val="22"/>
        </w:rPr>
        <w:t xml:space="preserve">(Štangová, V.: </w:t>
      </w:r>
      <w:r w:rsidR="00F05845" w:rsidRPr="000D2E4D">
        <w:rPr>
          <w:i/>
          <w:sz w:val="22"/>
          <w:szCs w:val="22"/>
        </w:rPr>
        <w:t>Vývojové tendence důchodové reformy v</w:t>
      </w:r>
      <w:r w:rsidR="00BD0485" w:rsidRPr="000D2E4D">
        <w:rPr>
          <w:i/>
          <w:sz w:val="22"/>
          <w:szCs w:val="22"/>
        </w:rPr>
        <w:t> </w:t>
      </w:r>
      <w:r w:rsidR="00F05845" w:rsidRPr="000D2E4D">
        <w:rPr>
          <w:i/>
          <w:sz w:val="22"/>
          <w:szCs w:val="22"/>
        </w:rPr>
        <w:t>ČR</w:t>
      </w:r>
      <w:r w:rsidR="00F05845" w:rsidRPr="000D2E4D">
        <w:rPr>
          <w:sz w:val="22"/>
          <w:szCs w:val="22"/>
        </w:rPr>
        <w:t>, in</w:t>
      </w:r>
      <w:r w:rsidR="00291FCE" w:rsidRPr="000D2E4D">
        <w:rPr>
          <w:sz w:val="22"/>
          <w:szCs w:val="22"/>
        </w:rPr>
        <w:t xml:space="preserve"> Poláček, B. ed.:</w:t>
      </w:r>
      <w:r w:rsidR="00F05845" w:rsidRPr="000D2E4D">
        <w:rPr>
          <w:sz w:val="22"/>
          <w:szCs w:val="22"/>
        </w:rPr>
        <w:t xml:space="preserve"> Pocta prof. JUDr. Květoslavu Růžičkovi, CSc.</w:t>
      </w:r>
      <w:r w:rsidR="00291FCE" w:rsidRPr="000D2E4D">
        <w:rPr>
          <w:sz w:val="22"/>
          <w:szCs w:val="22"/>
        </w:rPr>
        <w:t>,</w:t>
      </w:r>
      <w:r w:rsidR="00F05845" w:rsidRPr="000D2E4D">
        <w:rPr>
          <w:sz w:val="22"/>
          <w:szCs w:val="22"/>
        </w:rPr>
        <w:t xml:space="preserve"> k</w:t>
      </w:r>
      <w:r w:rsidR="00291FCE" w:rsidRPr="000D2E4D">
        <w:rPr>
          <w:sz w:val="22"/>
          <w:szCs w:val="22"/>
        </w:rPr>
        <w:t> </w:t>
      </w:r>
      <w:r w:rsidR="00F05845" w:rsidRPr="000D2E4D">
        <w:rPr>
          <w:sz w:val="22"/>
          <w:szCs w:val="22"/>
        </w:rPr>
        <w:t>70.</w:t>
      </w:r>
      <w:r w:rsidR="00291FCE" w:rsidRPr="000D2E4D">
        <w:rPr>
          <w:sz w:val="22"/>
          <w:szCs w:val="22"/>
        </w:rPr>
        <w:t> </w:t>
      </w:r>
      <w:r w:rsidR="00F05845" w:rsidRPr="000D2E4D">
        <w:rPr>
          <w:sz w:val="22"/>
          <w:szCs w:val="22"/>
        </w:rPr>
        <w:t>narozeninám, Wolters Kluwer, Praha 201</w:t>
      </w:r>
      <w:r w:rsidR="00CC2297">
        <w:rPr>
          <w:sz w:val="22"/>
          <w:szCs w:val="22"/>
        </w:rPr>
        <w:t>6</w:t>
      </w:r>
      <w:r w:rsidR="00F05845" w:rsidRPr="000D2E4D">
        <w:rPr>
          <w:sz w:val="22"/>
          <w:szCs w:val="22"/>
        </w:rPr>
        <w:t>)</w:t>
      </w:r>
      <w:r w:rsidR="00F05845" w:rsidRPr="00590D26">
        <w:rPr>
          <w:sz w:val="22"/>
          <w:szCs w:val="22"/>
        </w:rPr>
        <w:t xml:space="preserve">. Řešitelský kolektiv se soustředil rovněž na otázky slaďování rodinného a profesního života zejména žen, což je velmi aktuální a důležitá otázka i v rámci EU, která je řešena v právu sociálního zabezpečení i v právu pracovním, jednotlivé problémy a jejich právní úprava se vzájemně prolínají (Koldinská, K.: </w:t>
      </w:r>
      <w:r w:rsidR="00F05845" w:rsidRPr="00291FCE">
        <w:rPr>
          <w:i/>
          <w:sz w:val="22"/>
          <w:szCs w:val="22"/>
        </w:rPr>
        <w:t>Slaďování pracovního a rodinného života z pohledu práva EU</w:t>
      </w:r>
      <w:r w:rsidR="00F05845" w:rsidRPr="00590D26">
        <w:rPr>
          <w:sz w:val="22"/>
          <w:szCs w:val="22"/>
        </w:rPr>
        <w:t xml:space="preserve">, </w:t>
      </w:r>
      <w:r w:rsidR="00291FCE">
        <w:rPr>
          <w:sz w:val="22"/>
          <w:szCs w:val="22"/>
        </w:rPr>
        <w:t xml:space="preserve">v </w:t>
      </w:r>
      <w:r w:rsidR="00F05845" w:rsidRPr="00590D26">
        <w:rPr>
          <w:sz w:val="22"/>
          <w:szCs w:val="22"/>
        </w:rPr>
        <w:t>připrav</w:t>
      </w:r>
      <w:r w:rsidR="00291FCE">
        <w:rPr>
          <w:sz w:val="22"/>
          <w:szCs w:val="22"/>
        </w:rPr>
        <w:t>ovaném</w:t>
      </w:r>
      <w:r w:rsidR="00F05845" w:rsidRPr="00590D26">
        <w:rPr>
          <w:sz w:val="22"/>
          <w:szCs w:val="22"/>
        </w:rPr>
        <w:t xml:space="preserve"> sborník</w:t>
      </w:r>
      <w:r w:rsidR="00291FCE">
        <w:rPr>
          <w:sz w:val="22"/>
          <w:szCs w:val="22"/>
        </w:rPr>
        <w:t>u</w:t>
      </w:r>
      <w:r w:rsidR="00F05845" w:rsidRPr="00590D26">
        <w:rPr>
          <w:sz w:val="22"/>
          <w:szCs w:val="22"/>
        </w:rPr>
        <w:t xml:space="preserve"> z teoretické pracovněprávní konference v Třešti, ed.</w:t>
      </w:r>
      <w:r w:rsidR="000D32F2">
        <w:rPr>
          <w:sz w:val="22"/>
          <w:szCs w:val="22"/>
        </w:rPr>
        <w:t> </w:t>
      </w:r>
      <w:r w:rsidR="00F05845" w:rsidRPr="00590D26">
        <w:rPr>
          <w:sz w:val="22"/>
          <w:szCs w:val="22"/>
        </w:rPr>
        <w:t xml:space="preserve">Gregorová, Z., MU Brno – sborník bude patrně v elektronické verzi); Štangová, V.: </w:t>
      </w:r>
      <w:r w:rsidR="00F05845" w:rsidRPr="00291FCE">
        <w:rPr>
          <w:i/>
          <w:sz w:val="22"/>
          <w:szCs w:val="22"/>
        </w:rPr>
        <w:t>Aktuální otázky zaměstnávání žen</w:t>
      </w:r>
      <w:r w:rsidR="00F05845" w:rsidRPr="00590D26">
        <w:rPr>
          <w:sz w:val="22"/>
          <w:szCs w:val="22"/>
        </w:rPr>
        <w:t>, in</w:t>
      </w:r>
      <w:r w:rsidR="00291FCE">
        <w:rPr>
          <w:sz w:val="22"/>
          <w:szCs w:val="22"/>
        </w:rPr>
        <w:t xml:space="preserve"> </w:t>
      </w:r>
      <w:r w:rsidR="00291FCE" w:rsidRPr="00590D26">
        <w:rPr>
          <w:sz w:val="22"/>
          <w:szCs w:val="22"/>
        </w:rPr>
        <w:t>Pichrt, J., Morávek, J.</w:t>
      </w:r>
      <w:r w:rsidR="00291FCE">
        <w:rPr>
          <w:sz w:val="22"/>
          <w:szCs w:val="22"/>
        </w:rPr>
        <w:t xml:space="preserve"> eds.:</w:t>
      </w:r>
      <w:r w:rsidR="00F05845" w:rsidRPr="00590D26">
        <w:rPr>
          <w:sz w:val="22"/>
          <w:szCs w:val="22"/>
        </w:rPr>
        <w:t xml:space="preserve"> Atypická zaměstnání – cesta k vyšší zaměstnanosti? Wolters Kluwer, Praha 2015.</w:t>
      </w:r>
    </w:p>
    <w:p w:rsidR="00D2759E" w:rsidRDefault="00D2759E" w:rsidP="00F66B61">
      <w:pPr>
        <w:jc w:val="both"/>
        <w:rPr>
          <w:sz w:val="22"/>
          <w:szCs w:val="22"/>
        </w:rPr>
      </w:pPr>
    </w:p>
    <w:p w:rsidR="00D2759E" w:rsidRPr="00710A51" w:rsidRDefault="007B0877" w:rsidP="00710A51">
      <w:pPr>
        <w:jc w:val="both"/>
        <w:rPr>
          <w:i/>
          <w:sz w:val="22"/>
          <w:szCs w:val="22"/>
        </w:rPr>
      </w:pPr>
      <w:r w:rsidRPr="00710A51">
        <w:rPr>
          <w:sz w:val="22"/>
          <w:szCs w:val="22"/>
        </w:rPr>
        <w:t>V</w:t>
      </w:r>
      <w:r w:rsidR="00D2759E" w:rsidRPr="00710A51">
        <w:rPr>
          <w:sz w:val="22"/>
          <w:szCs w:val="22"/>
        </w:rPr>
        <w:t>zhledem k internacionalizaci zločinu a globalizaci a transnacionalizaci právních řádů</w:t>
      </w:r>
      <w:r w:rsidRPr="00710A51">
        <w:rPr>
          <w:sz w:val="22"/>
          <w:szCs w:val="22"/>
        </w:rPr>
        <w:t xml:space="preserve"> pokračoval výzkum </w:t>
      </w:r>
      <w:r w:rsidRPr="00710A51">
        <w:rPr>
          <w:b/>
          <w:sz w:val="22"/>
          <w:szCs w:val="22"/>
        </w:rPr>
        <w:t>europeizace trestního práva</w:t>
      </w:r>
      <w:r w:rsidRPr="00710A51">
        <w:rPr>
          <w:sz w:val="22"/>
          <w:szCs w:val="22"/>
        </w:rPr>
        <w:t xml:space="preserve"> (</w:t>
      </w:r>
      <w:r w:rsidR="00AE7F5A">
        <w:rPr>
          <w:sz w:val="22"/>
          <w:szCs w:val="22"/>
        </w:rPr>
        <w:t xml:space="preserve">obory </w:t>
      </w:r>
      <w:r w:rsidRPr="00710A51">
        <w:rPr>
          <w:sz w:val="22"/>
          <w:szCs w:val="22"/>
        </w:rPr>
        <w:t>evropské právo, trestní právo). Řešitelský tým pod vedením prof. Jiřího</w:t>
      </w:r>
      <w:r w:rsidR="000D32F2">
        <w:rPr>
          <w:sz w:val="22"/>
          <w:szCs w:val="22"/>
        </w:rPr>
        <w:t xml:space="preserve"> </w:t>
      </w:r>
      <w:r w:rsidR="000D32F2" w:rsidRPr="00BA5519">
        <w:rPr>
          <w:sz w:val="22"/>
          <w:szCs w:val="22"/>
        </w:rPr>
        <w:t>Jelínka</w:t>
      </w:r>
      <w:r w:rsidR="00B36CD3">
        <w:rPr>
          <w:sz w:val="22"/>
          <w:szCs w:val="22"/>
        </w:rPr>
        <w:t xml:space="preserve"> soustředil</w:t>
      </w:r>
      <w:r w:rsidR="00D2759E" w:rsidRPr="00710A51">
        <w:rPr>
          <w:sz w:val="22"/>
          <w:szCs w:val="22"/>
        </w:rPr>
        <w:t xml:space="preserve"> pozornost na několik stěžejních témat</w:t>
      </w:r>
      <w:r w:rsidRPr="00710A51">
        <w:rPr>
          <w:sz w:val="22"/>
          <w:szCs w:val="22"/>
        </w:rPr>
        <w:t xml:space="preserve">: </w:t>
      </w:r>
      <w:r w:rsidR="00D2759E" w:rsidRPr="00710A51">
        <w:rPr>
          <w:sz w:val="22"/>
          <w:szCs w:val="22"/>
        </w:rPr>
        <w:t>harmonizace českého vnitrostátního trestního práva s právem EU, policejní spolupráce v trestních věcech, terorismus, ochrana měny, praní peněz, sexuální obtěžování, postavení poškoz</w:t>
      </w:r>
      <w:r w:rsidRPr="00710A51">
        <w:rPr>
          <w:sz w:val="22"/>
          <w:szCs w:val="22"/>
        </w:rPr>
        <w:t>eného, rasismus a xenofobie aj., a</w:t>
      </w:r>
      <w:r w:rsidR="000D32F2">
        <w:rPr>
          <w:sz w:val="22"/>
          <w:szCs w:val="22"/>
        </w:rPr>
        <w:t> </w:t>
      </w:r>
      <w:r w:rsidRPr="00710A51">
        <w:rPr>
          <w:sz w:val="22"/>
          <w:szCs w:val="22"/>
        </w:rPr>
        <w:t>s nimi souvisejícím</w:t>
      </w:r>
      <w:r w:rsidR="000D32F2">
        <w:rPr>
          <w:sz w:val="22"/>
          <w:szCs w:val="22"/>
        </w:rPr>
        <w:t>i</w:t>
      </w:r>
      <w:r w:rsidRPr="00710A51">
        <w:rPr>
          <w:sz w:val="22"/>
          <w:szCs w:val="22"/>
        </w:rPr>
        <w:t xml:space="preserve"> právními transplantáty. K porovnání transplantátů z uvedených oblastí v českém prostředí s prostředím slovenským se v</w:t>
      </w:r>
      <w:r w:rsidR="00D2759E" w:rsidRPr="00710A51">
        <w:rPr>
          <w:sz w:val="22"/>
          <w:szCs w:val="22"/>
        </w:rPr>
        <w:t> dubnu 2015 uskutečnila mezinárodní vědecká mezioborová konference ve spolupráci s Fakultou práva Panevropské vysoké školy s názvem „Trestní právo Evropské unie a jeho vliv na právní řád České republiky a Slovenské republiky“ (ohlas viz např. The Lawyer Quarterly 3/2015, s. 231</w:t>
      </w:r>
      <w:r w:rsidR="002C101E">
        <w:rPr>
          <w:sz w:val="22"/>
          <w:szCs w:val="22"/>
        </w:rPr>
        <w:t>–</w:t>
      </w:r>
      <w:r w:rsidR="00D2759E" w:rsidRPr="00710A51">
        <w:rPr>
          <w:sz w:val="22"/>
          <w:szCs w:val="22"/>
        </w:rPr>
        <w:t xml:space="preserve">232). Literárním výstupem se stala kolektivní monografie Jelínek, J., Ivor, J. a kol.: </w:t>
      </w:r>
      <w:r w:rsidR="00D2759E" w:rsidRPr="002C101E">
        <w:rPr>
          <w:i/>
          <w:sz w:val="22"/>
          <w:szCs w:val="22"/>
        </w:rPr>
        <w:t>Trestní právo Evropské unie a jeho vliv na právní řád České republiky a Slovenské republiky</w:t>
      </w:r>
      <w:r w:rsidR="002C101E">
        <w:rPr>
          <w:i/>
          <w:sz w:val="22"/>
          <w:szCs w:val="22"/>
        </w:rPr>
        <w:t>,</w:t>
      </w:r>
      <w:r w:rsidR="002C101E">
        <w:rPr>
          <w:sz w:val="22"/>
          <w:szCs w:val="22"/>
        </w:rPr>
        <w:t xml:space="preserve"> </w:t>
      </w:r>
      <w:r w:rsidR="00D2759E" w:rsidRPr="00710A51">
        <w:rPr>
          <w:sz w:val="22"/>
          <w:szCs w:val="22"/>
        </w:rPr>
        <w:t xml:space="preserve">Leges, </w:t>
      </w:r>
      <w:r w:rsidR="002C101E">
        <w:rPr>
          <w:sz w:val="22"/>
          <w:szCs w:val="22"/>
        </w:rPr>
        <w:t xml:space="preserve">Praha </w:t>
      </w:r>
      <w:r w:rsidR="00D2759E" w:rsidRPr="00710A51">
        <w:rPr>
          <w:sz w:val="22"/>
          <w:szCs w:val="22"/>
        </w:rPr>
        <w:t>2015.</w:t>
      </w:r>
      <w:r w:rsidR="00710A51" w:rsidRPr="00710A51">
        <w:rPr>
          <w:sz w:val="22"/>
          <w:szCs w:val="22"/>
        </w:rPr>
        <w:t xml:space="preserve"> </w:t>
      </w:r>
      <w:r w:rsidR="00D2759E" w:rsidRPr="00710A51">
        <w:rPr>
          <w:sz w:val="22"/>
          <w:szCs w:val="22"/>
        </w:rPr>
        <w:t xml:space="preserve">Ve spolupráci s Fakultou práva Panevropské vysoké školy pak vyšla monografie v anglickém jazyce Ivor, J., Jelínek, J. et al.: </w:t>
      </w:r>
      <w:r w:rsidR="00D2759E" w:rsidRPr="002C101E">
        <w:rPr>
          <w:i/>
          <w:sz w:val="22"/>
          <w:szCs w:val="22"/>
        </w:rPr>
        <w:t>Euro Crimes in the Legal Systems of the Czech Republic and of the Slovak Republic</w:t>
      </w:r>
      <w:r w:rsidR="002C101E">
        <w:rPr>
          <w:i/>
          <w:sz w:val="22"/>
          <w:szCs w:val="22"/>
        </w:rPr>
        <w:t>,</w:t>
      </w:r>
      <w:r w:rsidR="002C101E">
        <w:rPr>
          <w:sz w:val="22"/>
          <w:szCs w:val="22"/>
        </w:rPr>
        <w:t xml:space="preserve"> </w:t>
      </w:r>
      <w:r w:rsidR="00D2759E" w:rsidRPr="00710A51">
        <w:rPr>
          <w:sz w:val="22"/>
          <w:szCs w:val="22"/>
        </w:rPr>
        <w:t xml:space="preserve">Wolters Kluwer, </w:t>
      </w:r>
      <w:r w:rsidR="002C101E">
        <w:rPr>
          <w:sz w:val="22"/>
          <w:szCs w:val="22"/>
        </w:rPr>
        <w:t xml:space="preserve">Budapešť </w:t>
      </w:r>
      <w:r w:rsidR="00D2759E" w:rsidRPr="00710A51">
        <w:rPr>
          <w:sz w:val="22"/>
          <w:szCs w:val="22"/>
        </w:rPr>
        <w:t xml:space="preserve">2015. </w:t>
      </w:r>
    </w:p>
    <w:p w:rsidR="00F66B61" w:rsidRDefault="00F66B61" w:rsidP="00584F67">
      <w:pPr>
        <w:keepNext/>
        <w:spacing w:line="276" w:lineRule="auto"/>
        <w:jc w:val="both"/>
        <w:rPr>
          <w:sz w:val="22"/>
          <w:szCs w:val="22"/>
        </w:rPr>
      </w:pPr>
    </w:p>
    <w:p w:rsidR="002F527C" w:rsidRDefault="00F95E7B" w:rsidP="0064755F">
      <w:pPr>
        <w:autoSpaceDE w:val="0"/>
        <w:autoSpaceDN w:val="0"/>
        <w:adjustRightInd w:val="0"/>
        <w:jc w:val="both"/>
        <w:rPr>
          <w:bCs/>
          <w:sz w:val="22"/>
          <w:szCs w:val="22"/>
          <w:lang w:bidi="he-IL"/>
        </w:rPr>
      </w:pPr>
      <w:r w:rsidRPr="0064755F">
        <w:rPr>
          <w:bCs/>
          <w:sz w:val="22"/>
          <w:szCs w:val="22"/>
        </w:rPr>
        <w:t>V</w:t>
      </w:r>
      <w:r w:rsidR="00526058" w:rsidRPr="0064755F">
        <w:rPr>
          <w:bCs/>
          <w:sz w:val="22"/>
          <w:szCs w:val="22"/>
        </w:rPr>
        <w:t xml:space="preserve"> oblasti </w:t>
      </w:r>
      <w:r w:rsidR="00526058" w:rsidRPr="0064755F">
        <w:rPr>
          <w:b/>
          <w:bCs/>
          <w:sz w:val="22"/>
          <w:szCs w:val="22"/>
        </w:rPr>
        <w:t>ochrany životního prostředí</w:t>
      </w:r>
      <w:r w:rsidR="00526058" w:rsidRPr="0064755F">
        <w:rPr>
          <w:bCs/>
          <w:sz w:val="22"/>
          <w:szCs w:val="22"/>
        </w:rPr>
        <w:t xml:space="preserve"> </w:t>
      </w:r>
      <w:r w:rsidRPr="0064755F">
        <w:rPr>
          <w:bCs/>
          <w:sz w:val="22"/>
          <w:szCs w:val="22"/>
        </w:rPr>
        <w:t>(</w:t>
      </w:r>
      <w:r w:rsidR="00AE7F5A">
        <w:rPr>
          <w:bCs/>
          <w:sz w:val="22"/>
          <w:szCs w:val="22"/>
        </w:rPr>
        <w:t xml:space="preserve">obory evropské právo, </w:t>
      </w:r>
      <w:r w:rsidRPr="0064755F">
        <w:rPr>
          <w:bCs/>
          <w:sz w:val="22"/>
          <w:szCs w:val="22"/>
        </w:rPr>
        <w:t>právo životního prostředí) v</w:t>
      </w:r>
      <w:r w:rsidR="002F527C" w:rsidRPr="0064755F">
        <w:rPr>
          <w:sz w:val="22"/>
          <w:szCs w:val="22"/>
        </w:rPr>
        <w:t xml:space="preserve"> roce 2015 řešitelský kolektiv </w:t>
      </w:r>
      <w:r w:rsidRPr="0064755F">
        <w:rPr>
          <w:sz w:val="22"/>
          <w:szCs w:val="22"/>
        </w:rPr>
        <w:t>věcně navázal</w:t>
      </w:r>
      <w:r w:rsidR="002F527C" w:rsidRPr="0064755F">
        <w:rPr>
          <w:sz w:val="22"/>
          <w:szCs w:val="22"/>
        </w:rPr>
        <w:t xml:space="preserve"> na Program OSN Mezinárodní rok ochrany půdy vyhlášený OSN na rok 2015 a na Státní politiku životního prostředí 2012–2020.</w:t>
      </w:r>
      <w:r w:rsidRPr="0064755F">
        <w:rPr>
          <w:sz w:val="22"/>
          <w:szCs w:val="22"/>
        </w:rPr>
        <w:t xml:space="preserve"> </w:t>
      </w:r>
      <w:r w:rsidR="002F527C" w:rsidRPr="0064755F">
        <w:rPr>
          <w:bCs/>
          <w:sz w:val="22"/>
          <w:szCs w:val="22"/>
          <w:lang w:bidi="he-IL"/>
        </w:rPr>
        <w:t>Autorský kolektiv pokračoval ve snaze zasadit úsek práva ochrany životního prostředí jak do širší problematiky stavu a trendů vývoje českého veřejného práva, tak ale tyto provázat i na problematiku soukromoprávní. Výzkum a jeho zaměření byl</w:t>
      </w:r>
      <w:r w:rsidR="002C101E">
        <w:rPr>
          <w:bCs/>
          <w:sz w:val="22"/>
          <w:szCs w:val="22"/>
          <w:lang w:bidi="he-IL"/>
        </w:rPr>
        <w:t>y</w:t>
      </w:r>
      <w:r w:rsidR="002F527C" w:rsidRPr="0064755F">
        <w:rPr>
          <w:bCs/>
          <w:sz w:val="22"/>
          <w:szCs w:val="22"/>
          <w:lang w:bidi="he-IL"/>
        </w:rPr>
        <w:t xml:space="preserve"> pojat</w:t>
      </w:r>
      <w:r w:rsidR="002C101E">
        <w:rPr>
          <w:bCs/>
          <w:sz w:val="22"/>
          <w:szCs w:val="22"/>
          <w:lang w:bidi="he-IL"/>
        </w:rPr>
        <w:t>y</w:t>
      </w:r>
      <w:r w:rsidR="002F527C" w:rsidRPr="0064755F">
        <w:rPr>
          <w:bCs/>
          <w:sz w:val="22"/>
          <w:szCs w:val="22"/>
          <w:lang w:bidi="he-IL"/>
        </w:rPr>
        <w:t xml:space="preserve"> značně mezioborově (uvnitř i vně práva). Zájem byl </w:t>
      </w:r>
      <w:r w:rsidR="002F527C" w:rsidRPr="009E0398">
        <w:rPr>
          <w:bCs/>
          <w:sz w:val="22"/>
          <w:szCs w:val="22"/>
          <w:lang w:bidi="he-IL"/>
        </w:rPr>
        <w:t>věnován</w:t>
      </w:r>
      <w:r w:rsidR="002F527C" w:rsidRPr="0064755F">
        <w:rPr>
          <w:bCs/>
          <w:sz w:val="22"/>
          <w:szCs w:val="22"/>
          <w:lang w:bidi="he-IL"/>
        </w:rPr>
        <w:t xml:space="preserve"> výzkumu, popisu a analýze dosaženého stavu právní úpravy i aplikační praxe, a to nejen v ČR, ale i v mezinárodním kontextu (zejména Polsko, Německo, Rakousko, Francie, Španělsko). Pozornost byla dále věnována vymezování postavení vlastníků a podnikatelů při ochraně životního prostředí, jejich práv a povinností a nástrojů k jejich vynucování či aplikování (prostředky administrativní, ekonomické, koncepční a</w:t>
      </w:r>
      <w:r w:rsidR="007E3C0C">
        <w:rPr>
          <w:bCs/>
          <w:sz w:val="22"/>
          <w:szCs w:val="22"/>
          <w:lang w:bidi="he-IL"/>
        </w:rPr>
        <w:t> </w:t>
      </w:r>
      <w:r w:rsidR="002F527C" w:rsidRPr="0064755F">
        <w:rPr>
          <w:bCs/>
          <w:sz w:val="22"/>
          <w:szCs w:val="22"/>
          <w:lang w:bidi="he-IL"/>
        </w:rPr>
        <w:t>sankční). Složkově pak byly hlavním předmětem zájmu výzkumu problematiky ochrany půdy, ovzduší, klimatu, vody, přírody a krajiny, mořské biodiverzity.</w:t>
      </w:r>
      <w:r w:rsidR="000528AB" w:rsidRPr="0064755F">
        <w:rPr>
          <w:bCs/>
          <w:sz w:val="22"/>
          <w:szCs w:val="22"/>
          <w:lang w:bidi="he-IL"/>
        </w:rPr>
        <w:t xml:space="preserve"> </w:t>
      </w:r>
      <w:r w:rsidR="002F527C" w:rsidRPr="0064755F">
        <w:rPr>
          <w:bCs/>
          <w:sz w:val="22"/>
          <w:szCs w:val="22"/>
          <w:lang w:bidi="he-IL"/>
        </w:rPr>
        <w:t>Samostatný úsek výzkumu byl zaměřen na oblast zemědělského práva, tradiční podoblast práva životního prostředí. V roce 2015 se podařilo po letech (poprvé od roku 2001) napsat kolektivní monografii, která podává ucelený výklad a</w:t>
      </w:r>
      <w:r w:rsidR="009E0398">
        <w:rPr>
          <w:bCs/>
          <w:sz w:val="22"/>
          <w:szCs w:val="22"/>
          <w:lang w:bidi="he-IL"/>
        </w:rPr>
        <w:t> </w:t>
      </w:r>
      <w:r w:rsidR="002F527C" w:rsidRPr="0064755F">
        <w:rPr>
          <w:bCs/>
          <w:sz w:val="22"/>
          <w:szCs w:val="22"/>
          <w:lang w:bidi="he-IL"/>
        </w:rPr>
        <w:t>analýzu vnitrostátní právní úpravy českého zemědělského práva, v kontextu unijního a</w:t>
      </w:r>
      <w:r w:rsidR="009E0398">
        <w:rPr>
          <w:bCs/>
          <w:sz w:val="22"/>
          <w:szCs w:val="22"/>
          <w:lang w:bidi="he-IL"/>
        </w:rPr>
        <w:t> </w:t>
      </w:r>
      <w:r w:rsidR="002F527C" w:rsidRPr="0064755F">
        <w:rPr>
          <w:bCs/>
          <w:sz w:val="22"/>
          <w:szCs w:val="22"/>
          <w:lang w:bidi="he-IL"/>
        </w:rPr>
        <w:t>mezinárodního práva, kdy zejména evropské unijní právo již dnes tvoří více než 50</w:t>
      </w:r>
      <w:r w:rsidR="009E0398">
        <w:rPr>
          <w:bCs/>
          <w:sz w:val="22"/>
          <w:szCs w:val="22"/>
          <w:lang w:bidi="he-IL"/>
        </w:rPr>
        <w:t> </w:t>
      </w:r>
      <w:r w:rsidR="002F527C" w:rsidRPr="0064755F">
        <w:rPr>
          <w:bCs/>
          <w:sz w:val="22"/>
          <w:szCs w:val="22"/>
          <w:lang w:bidi="he-IL"/>
        </w:rPr>
        <w:t>% právní úpravy.</w:t>
      </w:r>
      <w:r w:rsidR="0064755F" w:rsidRPr="0064755F">
        <w:rPr>
          <w:bCs/>
          <w:sz w:val="22"/>
          <w:szCs w:val="22"/>
          <w:lang w:bidi="he-IL"/>
        </w:rPr>
        <w:t xml:space="preserve"> </w:t>
      </w:r>
      <w:r w:rsidR="002F527C" w:rsidRPr="0064755F">
        <w:rPr>
          <w:bCs/>
          <w:sz w:val="22"/>
          <w:szCs w:val="22"/>
          <w:lang w:bidi="he-IL"/>
        </w:rPr>
        <w:t>Významná byla účast členů řešitelského kolektivu na mezinárodních konferencích. JUDr. Žákovská a</w:t>
      </w:r>
      <w:r w:rsidR="009E0398">
        <w:rPr>
          <w:bCs/>
          <w:sz w:val="22"/>
          <w:szCs w:val="22"/>
          <w:lang w:bidi="he-IL"/>
        </w:rPr>
        <w:t> </w:t>
      </w:r>
      <w:r w:rsidR="002F527C" w:rsidRPr="0064755F">
        <w:rPr>
          <w:bCs/>
          <w:sz w:val="22"/>
          <w:szCs w:val="22"/>
          <w:lang w:bidi="he-IL"/>
        </w:rPr>
        <w:t>Mgr. Bc. Šedina se zúčastnili 13. zasedání Akademie práva životního prostředí Mezinárodní unie ochrany přírody IUCN, která se uskutečnila v Indonésii, Jakarta, Atma Jaya Catholic University</w:t>
      </w:r>
      <w:r w:rsidR="009E0398">
        <w:rPr>
          <w:bCs/>
          <w:sz w:val="22"/>
          <w:szCs w:val="22"/>
          <w:lang w:bidi="he-IL"/>
        </w:rPr>
        <w:t xml:space="preserve"> </w:t>
      </w:r>
      <w:r w:rsidR="002F527C" w:rsidRPr="0064755F">
        <w:rPr>
          <w:bCs/>
          <w:sz w:val="22"/>
          <w:szCs w:val="22"/>
          <w:lang w:bidi="he-IL"/>
        </w:rPr>
        <w:t>7.</w:t>
      </w:r>
      <w:r w:rsidR="00C92308">
        <w:rPr>
          <w:bCs/>
          <w:sz w:val="22"/>
          <w:szCs w:val="22"/>
          <w:lang w:bidi="he-IL"/>
        </w:rPr>
        <w:t>–</w:t>
      </w:r>
      <w:r w:rsidR="002F527C" w:rsidRPr="0064755F">
        <w:rPr>
          <w:bCs/>
          <w:sz w:val="22"/>
          <w:szCs w:val="22"/>
          <w:lang w:bidi="he-IL"/>
        </w:rPr>
        <w:t>11.</w:t>
      </w:r>
      <w:r w:rsidR="00C92308">
        <w:rPr>
          <w:bCs/>
          <w:sz w:val="22"/>
          <w:szCs w:val="22"/>
          <w:lang w:bidi="he-IL"/>
        </w:rPr>
        <w:t xml:space="preserve"> </w:t>
      </w:r>
      <w:r w:rsidR="002F527C" w:rsidRPr="0064755F">
        <w:rPr>
          <w:bCs/>
          <w:sz w:val="22"/>
          <w:szCs w:val="22"/>
          <w:lang w:bidi="he-IL"/>
        </w:rPr>
        <w:t xml:space="preserve">září 2015. Příspěvek </w:t>
      </w:r>
      <w:r w:rsidR="002F527C" w:rsidRPr="006A744D">
        <w:rPr>
          <w:bCs/>
          <w:i/>
          <w:sz w:val="22"/>
          <w:szCs w:val="22"/>
          <w:lang w:bidi="he-IL"/>
        </w:rPr>
        <w:t>The Role of CITES in Marine Biodiversity Conservation</w:t>
      </w:r>
      <w:r w:rsidR="002F527C" w:rsidRPr="0064755F">
        <w:rPr>
          <w:bCs/>
          <w:sz w:val="22"/>
          <w:szCs w:val="22"/>
          <w:lang w:bidi="he-IL"/>
        </w:rPr>
        <w:t xml:space="preserve"> bude zpracován v písemné formě do sborníku z konference.</w:t>
      </w:r>
      <w:r w:rsidR="0064755F" w:rsidRPr="0064755F">
        <w:rPr>
          <w:bCs/>
          <w:sz w:val="22"/>
          <w:szCs w:val="22"/>
          <w:lang w:bidi="he-IL"/>
        </w:rPr>
        <w:t xml:space="preserve"> </w:t>
      </w:r>
      <w:r w:rsidR="002F527C" w:rsidRPr="0064755F">
        <w:rPr>
          <w:bCs/>
          <w:sz w:val="22"/>
          <w:szCs w:val="22"/>
          <w:lang w:bidi="he-IL"/>
        </w:rPr>
        <w:t xml:space="preserve">Pomyslným vrcholem byla pak účast celé katedry na </w:t>
      </w:r>
      <w:r w:rsidR="002F527C" w:rsidRPr="0064755F">
        <w:rPr>
          <w:bCs/>
          <w:sz w:val="22"/>
          <w:szCs w:val="22"/>
          <w:lang w:bidi="he-IL"/>
        </w:rPr>
        <w:lastRenderedPageBreak/>
        <w:t>konferenci „Základní lidské právo na příznivé životní prostředí“, pořádané Ústavem státu a práva AV</w:t>
      </w:r>
      <w:r w:rsidR="009E0398">
        <w:rPr>
          <w:bCs/>
          <w:sz w:val="22"/>
          <w:szCs w:val="22"/>
          <w:lang w:bidi="he-IL"/>
        </w:rPr>
        <w:t> </w:t>
      </w:r>
      <w:r w:rsidR="002F527C" w:rsidRPr="0064755F">
        <w:rPr>
          <w:bCs/>
          <w:sz w:val="22"/>
          <w:szCs w:val="22"/>
          <w:lang w:bidi="he-IL"/>
        </w:rPr>
        <w:t>ČR 16. října 2015 v Praze za účasti akademických pracovníků, ale i soudců Ústavního soudu ČR a</w:t>
      </w:r>
      <w:r w:rsidR="009E0398">
        <w:rPr>
          <w:bCs/>
          <w:sz w:val="22"/>
          <w:szCs w:val="22"/>
          <w:lang w:bidi="he-IL"/>
        </w:rPr>
        <w:t> </w:t>
      </w:r>
      <w:r w:rsidR="002F527C" w:rsidRPr="0064755F">
        <w:rPr>
          <w:bCs/>
          <w:sz w:val="22"/>
          <w:szCs w:val="22"/>
          <w:lang w:bidi="he-IL"/>
        </w:rPr>
        <w:t>Nejvyššího správního soud</w:t>
      </w:r>
      <w:r w:rsidR="009E0398">
        <w:rPr>
          <w:bCs/>
          <w:sz w:val="22"/>
          <w:szCs w:val="22"/>
          <w:lang w:bidi="he-IL"/>
        </w:rPr>
        <w:t>u</w:t>
      </w:r>
      <w:r w:rsidR="002F527C" w:rsidRPr="0064755F">
        <w:rPr>
          <w:bCs/>
          <w:sz w:val="22"/>
          <w:szCs w:val="22"/>
          <w:lang w:bidi="he-IL"/>
        </w:rPr>
        <w:t xml:space="preserve"> ČR. Prof. Damohorský, JUDr. Sobotka a JUDr. Žákovská vystoupili v rámci programu s příspěvky propojující</w:t>
      </w:r>
      <w:r w:rsidR="009E0398">
        <w:rPr>
          <w:bCs/>
          <w:sz w:val="22"/>
          <w:szCs w:val="22"/>
          <w:lang w:bidi="he-IL"/>
        </w:rPr>
        <w:t>mi</w:t>
      </w:r>
      <w:r w:rsidR="002F527C" w:rsidRPr="0064755F">
        <w:rPr>
          <w:bCs/>
          <w:sz w:val="22"/>
          <w:szCs w:val="22"/>
          <w:lang w:bidi="he-IL"/>
        </w:rPr>
        <w:t xml:space="preserve"> oblast práva životního prostředí, ústavního a správního práva. Příspěvky budou zpracovány ve formě kolektivní monografie.</w:t>
      </w:r>
    </w:p>
    <w:p w:rsidR="00856861" w:rsidRDefault="00856861" w:rsidP="0064755F">
      <w:pPr>
        <w:autoSpaceDE w:val="0"/>
        <w:autoSpaceDN w:val="0"/>
        <w:adjustRightInd w:val="0"/>
        <w:jc w:val="both"/>
        <w:rPr>
          <w:bCs/>
          <w:sz w:val="22"/>
          <w:szCs w:val="22"/>
          <w:lang w:bidi="he-IL"/>
        </w:rPr>
      </w:pPr>
    </w:p>
    <w:p w:rsidR="00856861" w:rsidRPr="00856861" w:rsidRDefault="00856861" w:rsidP="00AA6C21">
      <w:pPr>
        <w:jc w:val="both"/>
        <w:rPr>
          <w:bCs/>
          <w:sz w:val="22"/>
          <w:szCs w:val="22"/>
          <w:lang w:bidi="he-IL"/>
        </w:rPr>
      </w:pPr>
      <w:r w:rsidRPr="00AA6C21">
        <w:rPr>
          <w:bCs/>
          <w:sz w:val="22"/>
          <w:szCs w:val="22"/>
          <w:lang w:bidi="he-IL"/>
        </w:rPr>
        <w:t xml:space="preserve">Řešitelský tým </w:t>
      </w:r>
      <w:r w:rsidRPr="00AA6C21">
        <w:rPr>
          <w:b/>
          <w:bCs/>
          <w:sz w:val="22"/>
          <w:szCs w:val="22"/>
          <w:lang w:bidi="he-IL"/>
        </w:rPr>
        <w:t>finančního práva a finanční vědy</w:t>
      </w:r>
      <w:r w:rsidRPr="00AA6C21">
        <w:rPr>
          <w:bCs/>
          <w:sz w:val="22"/>
          <w:szCs w:val="22"/>
          <w:lang w:bidi="he-IL"/>
        </w:rPr>
        <w:t xml:space="preserve"> (</w:t>
      </w:r>
      <w:r w:rsidR="00AE7F5A">
        <w:rPr>
          <w:bCs/>
          <w:sz w:val="22"/>
          <w:szCs w:val="22"/>
          <w:lang w:bidi="he-IL"/>
        </w:rPr>
        <w:t xml:space="preserve">obory </w:t>
      </w:r>
      <w:r w:rsidRPr="00AA6C21">
        <w:rPr>
          <w:bCs/>
          <w:sz w:val="22"/>
          <w:szCs w:val="22"/>
          <w:lang w:bidi="he-IL"/>
        </w:rPr>
        <w:t xml:space="preserve">evropské právo, finanční právo, trestní právo) se zaměřil na </w:t>
      </w:r>
      <w:r w:rsidRPr="00AA6C21">
        <w:rPr>
          <w:sz w:val="22"/>
          <w:szCs w:val="22"/>
        </w:rPr>
        <w:t>instituty daňového práva, které mají vazbu na právo trestní. Interakce daňového práva a trestního práva se totiž dostává do popředí zájmu nejen odborné veřejnosti, ale i veřejnosti laické. Důvodem je jednak připravovaný zákon o prokazování původu majetku a jednak vývoj judikatury Evropského soudu pro lidská práva a Nejvyššího správního soudu ve věci charakteru penále podle daňového řádu jako trestní sankce. Za tímto účelem pořádala katedra finančního práva a finanční vědy v roce 2015 dva odborné semináře. Za prvé, seminář k zákonu o prokazování původu majetku (rozbor problematických otázek z hlediska ústavního, finančního a trestního práva). Seminář přispěl k</w:t>
      </w:r>
      <w:r w:rsidR="006A744D">
        <w:rPr>
          <w:sz w:val="22"/>
          <w:szCs w:val="22"/>
        </w:rPr>
        <w:t> </w:t>
      </w:r>
      <w:r w:rsidRPr="00AA6C21">
        <w:rPr>
          <w:sz w:val="22"/>
          <w:szCs w:val="22"/>
        </w:rPr>
        <w:t xml:space="preserve">rozboru návrhu zákona o prokazování původu majetku, který bývá označován jako „lex Al Capone“ či „bič na kmotry“, z hlediska ústavnosti a zásad finančního a trestního práva. Za druhé seminář „Ne bis in idem? (vztah penále podle daňového řádu a trestného činu zkrácení daně, poplatku a podobné povinné platby)“. Jeho cílem byl rozbor a analýza penále podle § 251 daňového řádu a trestného činu zkrácení daně, poplatku a podobné povinné platby podle § 240 trestního zákoníku jako možných trestních obvinění ve smyslu čl. 6 Úmluvy o ochraně lidských práv a základních svobod. </w:t>
      </w:r>
    </w:p>
    <w:p w:rsidR="00F60726" w:rsidRDefault="00F60726" w:rsidP="0064755F">
      <w:pPr>
        <w:autoSpaceDE w:val="0"/>
        <w:autoSpaceDN w:val="0"/>
        <w:adjustRightInd w:val="0"/>
        <w:jc w:val="both"/>
        <w:rPr>
          <w:bCs/>
          <w:sz w:val="22"/>
          <w:szCs w:val="22"/>
          <w:lang w:bidi="he-IL"/>
        </w:rPr>
      </w:pPr>
    </w:p>
    <w:p w:rsidR="00322D81" w:rsidRDefault="00F60726" w:rsidP="00856861">
      <w:pPr>
        <w:jc w:val="both"/>
        <w:rPr>
          <w:sz w:val="22"/>
          <w:szCs w:val="22"/>
        </w:rPr>
      </w:pPr>
      <w:r w:rsidRPr="00504613">
        <w:rPr>
          <w:sz w:val="22"/>
          <w:szCs w:val="22"/>
        </w:rPr>
        <w:t>Důležitým přínosem programu byl</w:t>
      </w:r>
      <w:r w:rsidR="00C55377">
        <w:rPr>
          <w:sz w:val="22"/>
          <w:szCs w:val="22"/>
        </w:rPr>
        <w:t xml:space="preserve"> i nadále</w:t>
      </w:r>
      <w:r w:rsidRPr="00504613">
        <w:rPr>
          <w:sz w:val="22"/>
          <w:szCs w:val="22"/>
        </w:rPr>
        <w:t xml:space="preserve"> </w:t>
      </w:r>
      <w:r w:rsidRPr="00504613">
        <w:rPr>
          <w:b/>
          <w:sz w:val="22"/>
          <w:szCs w:val="22"/>
        </w:rPr>
        <w:t>dopad na rozvoj vzdělávání</w:t>
      </w:r>
      <w:r w:rsidRPr="00504613">
        <w:rPr>
          <w:sz w:val="22"/>
          <w:szCs w:val="22"/>
        </w:rPr>
        <w:t xml:space="preserve"> na úrovni postdoktorandské výchovy, postgraduálního studia i magisterského studia. V oblasti postdoktorandské výchovy to byla zejména prezentace výsledků na domácích a mezinárodních konferencích a seminářích, ale také reflexe v dalším kvalifikačním růstu</w:t>
      </w:r>
      <w:r w:rsidR="00C55377">
        <w:rPr>
          <w:sz w:val="22"/>
          <w:szCs w:val="22"/>
        </w:rPr>
        <w:t xml:space="preserve"> řešením dílčích vědeckých úkolů</w:t>
      </w:r>
      <w:r w:rsidRPr="00504613">
        <w:rPr>
          <w:sz w:val="22"/>
          <w:szCs w:val="22"/>
        </w:rPr>
        <w:t>. V oblasti doktorandského studia došlo k zapojení posluchačů doktorandského studia v interní i kombinované formě, dílčím způsobem i posluchačů magisterského studijního programu. Témata disertačních prací byla vypsána tak, aby odrážela náplň programu.</w:t>
      </w:r>
      <w:r>
        <w:rPr>
          <w:sz w:val="22"/>
          <w:szCs w:val="22"/>
        </w:rPr>
        <w:t xml:space="preserve"> Posluchači doktorandského studia jsou ve vědeckých týmech běžně zapojováni </w:t>
      </w:r>
      <w:r w:rsidR="00322D81">
        <w:rPr>
          <w:sz w:val="22"/>
          <w:szCs w:val="22"/>
        </w:rPr>
        <w:t xml:space="preserve">do vědecké a publikační činnosti, jakož </w:t>
      </w:r>
      <w:r>
        <w:rPr>
          <w:sz w:val="22"/>
          <w:szCs w:val="22"/>
        </w:rPr>
        <w:t>i do tvorby učebních pomůcek.</w:t>
      </w:r>
      <w:r w:rsidRPr="00504613">
        <w:rPr>
          <w:sz w:val="22"/>
          <w:szCs w:val="22"/>
        </w:rPr>
        <w:t xml:space="preserve"> Výsledky programu se promítly též do výuky v magisterském studiu, </w:t>
      </w:r>
      <w:r w:rsidR="00322D81">
        <w:rPr>
          <w:sz w:val="22"/>
          <w:szCs w:val="22"/>
        </w:rPr>
        <w:t xml:space="preserve">zejména v učebních </w:t>
      </w:r>
      <w:r w:rsidR="00481060">
        <w:rPr>
          <w:sz w:val="22"/>
          <w:szCs w:val="22"/>
        </w:rPr>
        <w:t>textech</w:t>
      </w:r>
      <w:r w:rsidR="001625D0">
        <w:rPr>
          <w:sz w:val="22"/>
          <w:szCs w:val="22"/>
        </w:rPr>
        <w:t>. Jejich výčet bude uveden sub A2.</w:t>
      </w:r>
      <w:r w:rsidR="00322D81">
        <w:rPr>
          <w:sz w:val="22"/>
          <w:szCs w:val="22"/>
        </w:rPr>
        <w:t xml:space="preserve"> </w:t>
      </w:r>
    </w:p>
    <w:p w:rsidR="000B3313" w:rsidRDefault="000B3313" w:rsidP="0064755F">
      <w:pPr>
        <w:autoSpaceDE w:val="0"/>
        <w:autoSpaceDN w:val="0"/>
        <w:adjustRightInd w:val="0"/>
        <w:jc w:val="both"/>
        <w:rPr>
          <w:bCs/>
          <w:sz w:val="22"/>
          <w:szCs w:val="22"/>
          <w:lang w:bidi="he-IL"/>
        </w:rPr>
      </w:pPr>
    </w:p>
    <w:p w:rsidR="000B3313" w:rsidRPr="00504613" w:rsidRDefault="000B3313" w:rsidP="000B3313">
      <w:pPr>
        <w:spacing w:line="276" w:lineRule="auto"/>
        <w:jc w:val="both"/>
        <w:rPr>
          <w:sz w:val="22"/>
          <w:szCs w:val="22"/>
        </w:rPr>
      </w:pPr>
      <w:r w:rsidRPr="00504613">
        <w:rPr>
          <w:sz w:val="22"/>
          <w:szCs w:val="22"/>
        </w:rPr>
        <w:t xml:space="preserve">Pokud jde o </w:t>
      </w:r>
      <w:r w:rsidRPr="00504613">
        <w:rPr>
          <w:b/>
          <w:sz w:val="22"/>
          <w:szCs w:val="22"/>
        </w:rPr>
        <w:t>příspěvek programu k mezinárodní spolupráci</w:t>
      </w:r>
      <w:r w:rsidRPr="00504613">
        <w:rPr>
          <w:sz w:val="22"/>
          <w:szCs w:val="22"/>
        </w:rPr>
        <w:t>, lze, shodně jako v předchozím období, konstatovat nejen udržitelný rozvoj mobility akademických pracovníků, ale zejména kvalitativní posílení mezinárodní vědecké spolupráce, zejména v rámci následujících mezinárodních vědeckých organizací:</w:t>
      </w:r>
    </w:p>
    <w:p w:rsidR="000B3313" w:rsidRPr="000B3313" w:rsidRDefault="000B3313" w:rsidP="000B3313">
      <w:pPr>
        <w:pStyle w:val="Odstavecseseznamem"/>
        <w:numPr>
          <w:ilvl w:val="0"/>
          <w:numId w:val="3"/>
        </w:numPr>
        <w:spacing w:line="276" w:lineRule="auto"/>
        <w:rPr>
          <w:sz w:val="22"/>
          <w:szCs w:val="22"/>
        </w:rPr>
      </w:pPr>
      <w:r w:rsidRPr="000B3313">
        <w:rPr>
          <w:sz w:val="22"/>
          <w:szCs w:val="22"/>
        </w:rPr>
        <w:t>International Academy of Comparative Law;</w:t>
      </w:r>
    </w:p>
    <w:p w:rsidR="000B3313" w:rsidRPr="000B3313" w:rsidRDefault="000B3313" w:rsidP="000B3313">
      <w:pPr>
        <w:pStyle w:val="Odstavecseseznamem"/>
        <w:numPr>
          <w:ilvl w:val="0"/>
          <w:numId w:val="3"/>
        </w:numPr>
        <w:spacing w:line="276" w:lineRule="auto"/>
        <w:jc w:val="both"/>
        <w:rPr>
          <w:sz w:val="22"/>
          <w:szCs w:val="22"/>
        </w:rPr>
      </w:pPr>
      <w:r w:rsidRPr="000B3313">
        <w:rPr>
          <w:sz w:val="22"/>
          <w:szCs w:val="22"/>
        </w:rPr>
        <w:t>International Consortium for Law and Religion Studies;</w:t>
      </w:r>
    </w:p>
    <w:p w:rsidR="000B3313" w:rsidRPr="000B3313" w:rsidRDefault="000B3313" w:rsidP="000B3313">
      <w:pPr>
        <w:pStyle w:val="Odstavecseseznamem"/>
        <w:numPr>
          <w:ilvl w:val="0"/>
          <w:numId w:val="3"/>
        </w:numPr>
        <w:spacing w:line="276" w:lineRule="auto"/>
        <w:jc w:val="both"/>
        <w:rPr>
          <w:sz w:val="22"/>
          <w:szCs w:val="22"/>
        </w:rPr>
      </w:pPr>
      <w:r w:rsidRPr="000B3313">
        <w:rPr>
          <w:sz w:val="22"/>
          <w:szCs w:val="22"/>
        </w:rPr>
        <w:t>Comité Européen de Droit Rural;</w:t>
      </w:r>
    </w:p>
    <w:p w:rsidR="000B3313" w:rsidRPr="000B3313" w:rsidRDefault="000B3313" w:rsidP="000B3313">
      <w:pPr>
        <w:pStyle w:val="Odstavecseseznamem"/>
        <w:numPr>
          <w:ilvl w:val="0"/>
          <w:numId w:val="3"/>
        </w:numPr>
        <w:spacing w:line="276" w:lineRule="auto"/>
        <w:jc w:val="both"/>
        <w:rPr>
          <w:sz w:val="22"/>
          <w:szCs w:val="22"/>
        </w:rPr>
      </w:pPr>
      <w:r w:rsidRPr="000B3313">
        <w:rPr>
          <w:sz w:val="22"/>
          <w:szCs w:val="22"/>
        </w:rPr>
        <w:t>Centrum informacji i organizacji badań finansów publicznych i prawa podatkowego krajów Europy środkovej i wschodniej;</w:t>
      </w:r>
    </w:p>
    <w:p w:rsidR="000B3313" w:rsidRPr="000B3313" w:rsidRDefault="000B3313" w:rsidP="000B3313">
      <w:pPr>
        <w:pStyle w:val="Odstavecseseznamem"/>
        <w:numPr>
          <w:ilvl w:val="0"/>
          <w:numId w:val="3"/>
        </w:numPr>
        <w:spacing w:line="276" w:lineRule="auto"/>
        <w:jc w:val="both"/>
        <w:rPr>
          <w:sz w:val="22"/>
          <w:szCs w:val="22"/>
        </w:rPr>
      </w:pPr>
      <w:r w:rsidRPr="000B3313">
        <w:rPr>
          <w:sz w:val="22"/>
          <w:szCs w:val="22"/>
        </w:rPr>
        <w:t>Wissenschaftliche Vereinigung für Internationales Verfahrensrecht;</w:t>
      </w:r>
    </w:p>
    <w:p w:rsidR="000B3313" w:rsidRPr="000B3313" w:rsidRDefault="000B3313" w:rsidP="000B3313">
      <w:pPr>
        <w:pStyle w:val="Odstavecseseznamem"/>
        <w:numPr>
          <w:ilvl w:val="0"/>
          <w:numId w:val="3"/>
        </w:numPr>
        <w:spacing w:line="276" w:lineRule="auto"/>
        <w:jc w:val="both"/>
        <w:rPr>
          <w:sz w:val="22"/>
          <w:szCs w:val="22"/>
        </w:rPr>
      </w:pPr>
      <w:r w:rsidRPr="000B3313">
        <w:rPr>
          <w:sz w:val="22"/>
          <w:szCs w:val="22"/>
        </w:rPr>
        <w:t>Consociatio Internationalis Studio Iuris Canonici Promovendo;</w:t>
      </w:r>
    </w:p>
    <w:p w:rsidR="000B3313" w:rsidRPr="000B3313" w:rsidRDefault="000B3313" w:rsidP="000B3313">
      <w:pPr>
        <w:pStyle w:val="Odstavecseseznamem"/>
        <w:numPr>
          <w:ilvl w:val="0"/>
          <w:numId w:val="3"/>
        </w:numPr>
        <w:spacing w:line="276" w:lineRule="auto"/>
        <w:jc w:val="both"/>
        <w:rPr>
          <w:sz w:val="22"/>
          <w:szCs w:val="22"/>
        </w:rPr>
      </w:pPr>
      <w:r w:rsidRPr="000B3313">
        <w:rPr>
          <w:sz w:val="22"/>
          <w:szCs w:val="22"/>
        </w:rPr>
        <w:t>Société Internationale de Droit Canonique et de Législations Religieuses Comparées;</w:t>
      </w:r>
    </w:p>
    <w:p w:rsidR="000B3313" w:rsidRPr="000B3313" w:rsidRDefault="000B3313" w:rsidP="000B3313">
      <w:pPr>
        <w:pStyle w:val="Odstavecseseznamem"/>
        <w:keepNext/>
        <w:numPr>
          <w:ilvl w:val="0"/>
          <w:numId w:val="3"/>
        </w:numPr>
        <w:spacing w:line="360" w:lineRule="auto"/>
        <w:jc w:val="both"/>
        <w:rPr>
          <w:sz w:val="22"/>
          <w:szCs w:val="22"/>
        </w:rPr>
      </w:pPr>
      <w:r w:rsidRPr="000B3313">
        <w:rPr>
          <w:sz w:val="22"/>
          <w:szCs w:val="22"/>
        </w:rPr>
        <w:t>IUCN Academy of Environmental Law.</w:t>
      </w:r>
    </w:p>
    <w:p w:rsidR="002F527C" w:rsidRPr="000B3313" w:rsidRDefault="000B3313" w:rsidP="000B3313">
      <w:pPr>
        <w:jc w:val="both"/>
        <w:rPr>
          <w:color w:val="000000"/>
          <w:sz w:val="22"/>
          <w:szCs w:val="22"/>
        </w:rPr>
      </w:pPr>
      <w:r w:rsidRPr="000B3313">
        <w:rPr>
          <w:sz w:val="22"/>
          <w:szCs w:val="22"/>
        </w:rPr>
        <w:t xml:space="preserve">Nad rámec příkladů uvedených výše v rámci hodnocení činnosti jednotlivých výzkumných segmentů lze uvést úspěšnou obhajobu francouzského velkého doktorátu </w:t>
      </w:r>
      <w:r w:rsidR="002F527C" w:rsidRPr="000B3313">
        <w:rPr>
          <w:bCs/>
          <w:sz w:val="22"/>
          <w:szCs w:val="22"/>
          <w:lang w:bidi="he-IL"/>
        </w:rPr>
        <w:t>JUDr.</w:t>
      </w:r>
      <w:r w:rsidRPr="000B3313">
        <w:rPr>
          <w:bCs/>
          <w:sz w:val="22"/>
          <w:szCs w:val="22"/>
          <w:lang w:bidi="he-IL"/>
        </w:rPr>
        <w:t xml:space="preserve"> Karoliny Žákovské</w:t>
      </w:r>
      <w:r w:rsidR="002F527C" w:rsidRPr="000B3313">
        <w:rPr>
          <w:bCs/>
          <w:sz w:val="22"/>
          <w:szCs w:val="22"/>
          <w:lang w:bidi="he-IL"/>
        </w:rPr>
        <w:t xml:space="preserve"> na Université de Nantes (Francie). </w:t>
      </w:r>
      <w:r w:rsidR="002F527C" w:rsidRPr="000B3313">
        <w:rPr>
          <w:color w:val="000000"/>
          <w:sz w:val="22"/>
          <w:szCs w:val="22"/>
        </w:rPr>
        <w:t>Komise byla složena z pěti profesorů a jedné docentky (tři Francouzi, dva Češi a jeden Ital). JUDr.</w:t>
      </w:r>
      <w:r w:rsidRPr="000B3313">
        <w:rPr>
          <w:color w:val="000000"/>
          <w:sz w:val="22"/>
          <w:szCs w:val="22"/>
        </w:rPr>
        <w:t xml:space="preserve"> </w:t>
      </w:r>
      <w:r w:rsidR="002F527C" w:rsidRPr="000B3313">
        <w:rPr>
          <w:color w:val="000000"/>
          <w:sz w:val="22"/>
          <w:szCs w:val="22"/>
        </w:rPr>
        <w:t xml:space="preserve">Žákovská dostala všech šest kladných hlasů a hodnocení </w:t>
      </w:r>
      <w:r w:rsidR="002F527C" w:rsidRPr="000B3313">
        <w:rPr>
          <w:i/>
          <w:color w:val="000000"/>
          <w:sz w:val="22"/>
          <w:szCs w:val="22"/>
        </w:rPr>
        <w:t>honorable avec la f</w:t>
      </w:r>
      <w:r w:rsidR="00C8541E">
        <w:rPr>
          <w:i/>
          <w:color w:val="000000"/>
          <w:sz w:val="22"/>
          <w:szCs w:val="22"/>
        </w:rPr>
        <w:t>é</w:t>
      </w:r>
      <w:r w:rsidR="002F527C" w:rsidRPr="000B3313">
        <w:rPr>
          <w:i/>
          <w:color w:val="000000"/>
          <w:sz w:val="22"/>
          <w:szCs w:val="22"/>
        </w:rPr>
        <w:t>licitation du jury</w:t>
      </w:r>
      <w:r w:rsidR="002F527C" w:rsidRPr="000B3313">
        <w:rPr>
          <w:color w:val="000000"/>
          <w:sz w:val="22"/>
          <w:szCs w:val="22"/>
        </w:rPr>
        <w:t xml:space="preserve">, což je </w:t>
      </w:r>
      <w:r w:rsidR="00C8541E">
        <w:rPr>
          <w:color w:val="000000"/>
          <w:sz w:val="22"/>
          <w:szCs w:val="22"/>
        </w:rPr>
        <w:t>tamní</w:t>
      </w:r>
      <w:r w:rsidR="002F527C" w:rsidRPr="000B3313">
        <w:rPr>
          <w:color w:val="000000"/>
          <w:sz w:val="22"/>
          <w:szCs w:val="22"/>
        </w:rPr>
        <w:t xml:space="preserve"> nejlepší známka. Disertační práce </w:t>
      </w:r>
      <w:r w:rsidR="002F527C" w:rsidRPr="000B3313">
        <w:rPr>
          <w:i/>
          <w:sz w:val="22"/>
          <w:szCs w:val="22"/>
        </w:rPr>
        <w:t>La protection de la biodiversité marine en droit international</w:t>
      </w:r>
      <w:r w:rsidR="002F527C" w:rsidRPr="000B3313">
        <w:rPr>
          <w:sz w:val="22"/>
          <w:szCs w:val="22"/>
        </w:rPr>
        <w:t xml:space="preserve"> bude po úpravě připravena do tisku jako monografie coby jeden z výstupů PRVOUK 06.</w:t>
      </w:r>
    </w:p>
    <w:p w:rsidR="00F66B61" w:rsidRDefault="00F66B61" w:rsidP="00584F67">
      <w:pPr>
        <w:keepNext/>
        <w:spacing w:line="276" w:lineRule="auto"/>
        <w:jc w:val="both"/>
        <w:rPr>
          <w:sz w:val="22"/>
          <w:szCs w:val="22"/>
        </w:rPr>
      </w:pPr>
    </w:p>
    <w:p w:rsidR="00C8541E" w:rsidRPr="00504613" w:rsidRDefault="00C8541E" w:rsidP="00C8541E">
      <w:pPr>
        <w:keepNext/>
        <w:jc w:val="both"/>
        <w:rPr>
          <w:sz w:val="22"/>
          <w:szCs w:val="22"/>
        </w:rPr>
      </w:pPr>
      <w:r w:rsidRPr="00504613">
        <w:rPr>
          <w:sz w:val="22"/>
          <w:szCs w:val="22"/>
        </w:rPr>
        <w:t>V roce 201</w:t>
      </w:r>
      <w:r>
        <w:rPr>
          <w:sz w:val="22"/>
          <w:szCs w:val="22"/>
        </w:rPr>
        <w:t>5</w:t>
      </w:r>
      <w:r w:rsidRPr="00504613">
        <w:rPr>
          <w:sz w:val="22"/>
          <w:szCs w:val="22"/>
        </w:rPr>
        <w:t xml:space="preserve"> se Rada programu sešla dvakrát, a to </w:t>
      </w:r>
      <w:r w:rsidRPr="005E7A58">
        <w:rPr>
          <w:sz w:val="22"/>
          <w:szCs w:val="22"/>
        </w:rPr>
        <w:t>1</w:t>
      </w:r>
      <w:r w:rsidR="005E7A58" w:rsidRPr="005E7A58">
        <w:rPr>
          <w:sz w:val="22"/>
          <w:szCs w:val="22"/>
        </w:rPr>
        <w:t>6</w:t>
      </w:r>
      <w:r w:rsidRPr="005E7A58">
        <w:rPr>
          <w:sz w:val="22"/>
          <w:szCs w:val="22"/>
        </w:rPr>
        <w:t>.</w:t>
      </w:r>
      <w:r w:rsidR="006A744D">
        <w:rPr>
          <w:sz w:val="22"/>
          <w:szCs w:val="22"/>
        </w:rPr>
        <w:t> </w:t>
      </w:r>
      <w:r w:rsidRPr="005E7A58">
        <w:rPr>
          <w:sz w:val="22"/>
          <w:szCs w:val="22"/>
        </w:rPr>
        <w:t xml:space="preserve">4. a </w:t>
      </w:r>
      <w:r w:rsidR="005E7A58" w:rsidRPr="005E7A58">
        <w:rPr>
          <w:sz w:val="22"/>
          <w:szCs w:val="22"/>
        </w:rPr>
        <w:t>15</w:t>
      </w:r>
      <w:r w:rsidRPr="005E7A58">
        <w:rPr>
          <w:sz w:val="22"/>
          <w:szCs w:val="22"/>
        </w:rPr>
        <w:t>.</w:t>
      </w:r>
      <w:r w:rsidR="006A744D">
        <w:rPr>
          <w:sz w:val="22"/>
          <w:szCs w:val="22"/>
        </w:rPr>
        <w:t> </w:t>
      </w:r>
      <w:r w:rsidRPr="005E7A58">
        <w:rPr>
          <w:sz w:val="22"/>
          <w:szCs w:val="22"/>
        </w:rPr>
        <w:t>10.</w:t>
      </w:r>
      <w:r w:rsidRPr="00504613">
        <w:rPr>
          <w:sz w:val="22"/>
          <w:szCs w:val="22"/>
        </w:rPr>
        <w:t xml:space="preserve"> </w:t>
      </w:r>
      <w:r>
        <w:rPr>
          <w:sz w:val="22"/>
          <w:szCs w:val="22"/>
        </w:rPr>
        <w:t>Z důvodu</w:t>
      </w:r>
      <w:r w:rsidRPr="00504613">
        <w:rPr>
          <w:sz w:val="22"/>
          <w:szCs w:val="22"/>
        </w:rPr>
        <w:t xml:space="preserve"> </w:t>
      </w:r>
      <w:r>
        <w:rPr>
          <w:sz w:val="22"/>
          <w:szCs w:val="22"/>
        </w:rPr>
        <w:t xml:space="preserve">skončení pracovního poměru </w:t>
      </w:r>
      <w:r w:rsidRPr="00504613">
        <w:rPr>
          <w:sz w:val="22"/>
          <w:szCs w:val="22"/>
        </w:rPr>
        <w:t>člen</w:t>
      </w:r>
      <w:r>
        <w:rPr>
          <w:sz w:val="22"/>
          <w:szCs w:val="22"/>
        </w:rPr>
        <w:t>ů</w:t>
      </w:r>
      <w:r w:rsidRPr="00504613">
        <w:rPr>
          <w:sz w:val="22"/>
          <w:szCs w:val="22"/>
        </w:rPr>
        <w:t xml:space="preserve"> rady </w:t>
      </w:r>
      <w:r>
        <w:rPr>
          <w:sz w:val="22"/>
          <w:szCs w:val="22"/>
        </w:rPr>
        <w:t>prof. JUDr. Václava Pavlíčka, CSc., dr.h.c.</w:t>
      </w:r>
      <w:r w:rsidR="006A744D">
        <w:rPr>
          <w:sz w:val="22"/>
          <w:szCs w:val="22"/>
        </w:rPr>
        <w:t>,</w:t>
      </w:r>
      <w:r>
        <w:rPr>
          <w:sz w:val="22"/>
          <w:szCs w:val="22"/>
        </w:rPr>
        <w:t xml:space="preserve"> a </w:t>
      </w:r>
      <w:r w:rsidR="006A744D">
        <w:rPr>
          <w:sz w:val="22"/>
          <w:szCs w:val="22"/>
        </w:rPr>
        <w:t>p</w:t>
      </w:r>
      <w:r>
        <w:rPr>
          <w:sz w:val="22"/>
          <w:szCs w:val="22"/>
        </w:rPr>
        <w:t>rof. JUDr. Petra Tröstera, CSc.</w:t>
      </w:r>
      <w:r w:rsidR="006A744D">
        <w:rPr>
          <w:sz w:val="22"/>
          <w:szCs w:val="22"/>
        </w:rPr>
        <w:t>,</w:t>
      </w:r>
      <w:r>
        <w:rPr>
          <w:sz w:val="22"/>
          <w:szCs w:val="22"/>
        </w:rPr>
        <w:t xml:space="preserve"> zaniklo ke dni 30. 6. jejich členství v </w:t>
      </w:r>
      <w:r w:rsidR="002313AC">
        <w:rPr>
          <w:sz w:val="22"/>
          <w:szCs w:val="22"/>
        </w:rPr>
        <w:t xml:space="preserve">radě programu </w:t>
      </w:r>
      <w:r w:rsidR="002313AC" w:rsidRPr="00BA5519">
        <w:rPr>
          <w:sz w:val="22"/>
          <w:szCs w:val="22"/>
        </w:rPr>
        <w:t>P 06</w:t>
      </w:r>
      <w:r w:rsidR="002313AC">
        <w:rPr>
          <w:sz w:val="22"/>
          <w:szCs w:val="22"/>
        </w:rPr>
        <w:t>. Novou člen</w:t>
      </w:r>
      <w:r>
        <w:rPr>
          <w:sz w:val="22"/>
          <w:szCs w:val="22"/>
        </w:rPr>
        <w:t xml:space="preserve">kou rady byla </w:t>
      </w:r>
      <w:r w:rsidR="008E10DD">
        <w:rPr>
          <w:sz w:val="22"/>
          <w:szCs w:val="22"/>
        </w:rPr>
        <w:t xml:space="preserve">s účinností od 22. 7. 2015 </w:t>
      </w:r>
      <w:r>
        <w:rPr>
          <w:sz w:val="22"/>
          <w:szCs w:val="22"/>
        </w:rPr>
        <w:t xml:space="preserve">jmenována doc. JUDr. Věra Štangová, CSc. </w:t>
      </w:r>
    </w:p>
    <w:p w:rsidR="000212A1" w:rsidRPr="00D126F1" w:rsidRDefault="000212A1" w:rsidP="00097D74">
      <w:pPr>
        <w:jc w:val="both"/>
      </w:pPr>
    </w:p>
    <w:p w:rsidR="00D126F1" w:rsidRDefault="006603C4" w:rsidP="000212A1">
      <w:pPr>
        <w:keepNext/>
        <w:jc w:val="both"/>
        <w:rPr>
          <w:b/>
          <w:bCs/>
        </w:rPr>
      </w:pPr>
      <w:r>
        <w:rPr>
          <w:b/>
          <w:bCs/>
        </w:rPr>
        <w:t>A2</w:t>
      </w:r>
      <w:r w:rsidR="00D126F1">
        <w:rPr>
          <w:b/>
          <w:bCs/>
        </w:rPr>
        <w:t>.</w:t>
      </w:r>
    </w:p>
    <w:p w:rsidR="000212A1" w:rsidRPr="00C16C6F" w:rsidRDefault="000212A1" w:rsidP="000212A1">
      <w:pPr>
        <w:keepNext/>
        <w:jc w:val="both"/>
        <w:rPr>
          <w:b/>
          <w:bCs/>
        </w:rPr>
      </w:pPr>
      <w:r w:rsidRPr="00C16C6F">
        <w:rPr>
          <w:b/>
          <w:bCs/>
        </w:rPr>
        <w:t xml:space="preserve">Reflexe připomínek </w:t>
      </w:r>
    </w:p>
    <w:p w:rsidR="000212A1" w:rsidRDefault="000212A1" w:rsidP="000212A1">
      <w:pPr>
        <w:jc w:val="both"/>
        <w:rPr>
          <w:i/>
          <w:sz w:val="22"/>
          <w:szCs w:val="22"/>
        </w:rPr>
      </w:pPr>
      <w:r w:rsidRPr="006603C4">
        <w:rPr>
          <w:bCs/>
          <w:i/>
          <w:sz w:val="22"/>
          <w:szCs w:val="22"/>
        </w:rPr>
        <w:t xml:space="preserve">Jde o povinnou součást průběžné zprávy pouze u těchto programů: </w:t>
      </w:r>
      <w:r w:rsidR="00D126F1" w:rsidRPr="006603C4">
        <w:rPr>
          <w:i/>
          <w:sz w:val="22"/>
          <w:szCs w:val="22"/>
        </w:rPr>
        <w:t>P02, P04, P05, P06, P12, P15, P20, P22, P33, P38 a P39</w:t>
      </w:r>
      <w:r w:rsidRPr="006603C4">
        <w:rPr>
          <w:i/>
          <w:sz w:val="22"/>
          <w:szCs w:val="22"/>
        </w:rPr>
        <w:t xml:space="preserve">. </w:t>
      </w:r>
      <w:r w:rsidR="00D126F1" w:rsidRPr="006603C4">
        <w:rPr>
          <w:i/>
          <w:sz w:val="22"/>
          <w:szCs w:val="22"/>
        </w:rPr>
        <w:t>Zpracujte</w:t>
      </w:r>
      <w:r w:rsidRPr="006603C4">
        <w:rPr>
          <w:i/>
          <w:sz w:val="22"/>
          <w:szCs w:val="22"/>
        </w:rPr>
        <w:t xml:space="preserve"> reflexi připomínek uvedených v oponentním posudku k</w:t>
      </w:r>
      <w:r w:rsidR="00D126F1" w:rsidRPr="006603C4">
        <w:rPr>
          <w:i/>
          <w:sz w:val="22"/>
          <w:szCs w:val="22"/>
        </w:rPr>
        <w:t> průběžné zprávě o uskutečňování programu za rok 2014</w:t>
      </w:r>
      <w:r w:rsidRPr="006603C4">
        <w:rPr>
          <w:i/>
          <w:sz w:val="22"/>
          <w:szCs w:val="22"/>
        </w:rPr>
        <w:t>. Ocitujte vždy konkrétní připomínku a pod n</w:t>
      </w:r>
      <w:r w:rsidR="00D126F1" w:rsidRPr="006603C4">
        <w:rPr>
          <w:i/>
          <w:sz w:val="22"/>
          <w:szCs w:val="22"/>
        </w:rPr>
        <w:t>i</w:t>
      </w:r>
      <w:r w:rsidRPr="006603C4">
        <w:rPr>
          <w:i/>
          <w:sz w:val="22"/>
          <w:szCs w:val="22"/>
        </w:rPr>
        <w:t xml:space="preserve"> uveďte příslušný komentář.</w:t>
      </w:r>
    </w:p>
    <w:p w:rsidR="0051240A" w:rsidRDefault="0051240A" w:rsidP="000212A1">
      <w:pPr>
        <w:jc w:val="both"/>
        <w:rPr>
          <w:i/>
          <w:sz w:val="22"/>
          <w:szCs w:val="22"/>
        </w:rPr>
      </w:pPr>
    </w:p>
    <w:p w:rsidR="0028334C" w:rsidRDefault="0051240A" w:rsidP="000212A1">
      <w:pPr>
        <w:jc w:val="both"/>
        <w:rPr>
          <w:sz w:val="22"/>
          <w:szCs w:val="22"/>
        </w:rPr>
      </w:pPr>
      <w:r>
        <w:rPr>
          <w:sz w:val="22"/>
          <w:szCs w:val="22"/>
        </w:rPr>
        <w:t>„Zamyslet se nad posílením výstupů v oblasti tvorby studijních pomůcek.</w:t>
      </w:r>
      <w:r w:rsidR="0028334C">
        <w:rPr>
          <w:sz w:val="22"/>
          <w:szCs w:val="22"/>
        </w:rPr>
        <w:t xml:space="preserve"> </w:t>
      </w:r>
      <w:r w:rsidR="0028334C">
        <w:rPr>
          <w:i/>
          <w:sz w:val="22"/>
          <w:szCs w:val="22"/>
        </w:rPr>
        <w:t xml:space="preserve">Poznámka: </w:t>
      </w:r>
      <w:r w:rsidR="0028334C">
        <w:rPr>
          <w:sz w:val="22"/>
          <w:szCs w:val="22"/>
        </w:rPr>
        <w:t>hodnotitel však nevylučuje, že toto doporučení je nadbytečné, neboť jej řešitelé mají v úmyslu naplnit v následujících letech.“</w:t>
      </w:r>
    </w:p>
    <w:p w:rsidR="0028334C" w:rsidRDefault="0028334C" w:rsidP="000212A1">
      <w:pPr>
        <w:jc w:val="both"/>
        <w:rPr>
          <w:sz w:val="22"/>
          <w:szCs w:val="22"/>
        </w:rPr>
      </w:pPr>
    </w:p>
    <w:p w:rsidR="0028334C" w:rsidRDefault="0028334C" w:rsidP="000212A1">
      <w:pPr>
        <w:jc w:val="both"/>
        <w:rPr>
          <w:sz w:val="22"/>
          <w:szCs w:val="22"/>
        </w:rPr>
      </w:pPr>
      <w:r>
        <w:rPr>
          <w:sz w:val="22"/>
          <w:szCs w:val="22"/>
        </w:rPr>
        <w:t>V době uskutečňování programu se jeho průběžné výsledky promítly do následujících studijních textů:</w:t>
      </w:r>
    </w:p>
    <w:p w:rsidR="0028334C" w:rsidRDefault="0028334C" w:rsidP="000212A1">
      <w:pPr>
        <w:jc w:val="both"/>
        <w:rPr>
          <w:sz w:val="22"/>
          <w:szCs w:val="22"/>
        </w:rPr>
      </w:pPr>
    </w:p>
    <w:p w:rsidR="00993D5B" w:rsidRPr="00993D5B" w:rsidRDefault="00993D5B" w:rsidP="000212A1">
      <w:pPr>
        <w:jc w:val="both"/>
        <w:rPr>
          <w:sz w:val="22"/>
          <w:szCs w:val="22"/>
        </w:rPr>
      </w:pPr>
      <w:r w:rsidRPr="00993D5B">
        <w:rPr>
          <w:sz w:val="22"/>
          <w:szCs w:val="22"/>
        </w:rPr>
        <w:t>JELÍNEK, J</w:t>
      </w:r>
      <w:r w:rsidR="006A744D">
        <w:rPr>
          <w:sz w:val="22"/>
          <w:szCs w:val="22"/>
        </w:rPr>
        <w:t>.:</w:t>
      </w:r>
      <w:r w:rsidRPr="00993D5B">
        <w:rPr>
          <w:sz w:val="22"/>
          <w:szCs w:val="22"/>
        </w:rPr>
        <w:t xml:space="preserve"> </w:t>
      </w:r>
      <w:r w:rsidRPr="00993D5B">
        <w:rPr>
          <w:i/>
          <w:iCs/>
          <w:sz w:val="22"/>
          <w:szCs w:val="22"/>
        </w:rPr>
        <w:t>Trestní právo procesní</w:t>
      </w:r>
      <w:r w:rsidRPr="00993D5B">
        <w:rPr>
          <w:sz w:val="22"/>
          <w:szCs w:val="22"/>
        </w:rPr>
        <w:t>. 3.</w:t>
      </w:r>
      <w:r w:rsidR="006A744D">
        <w:rPr>
          <w:sz w:val="22"/>
          <w:szCs w:val="22"/>
        </w:rPr>
        <w:t>,</w:t>
      </w:r>
      <w:r w:rsidRPr="00993D5B">
        <w:rPr>
          <w:sz w:val="22"/>
          <w:szCs w:val="22"/>
        </w:rPr>
        <w:t xml:space="preserve"> aktualiz</w:t>
      </w:r>
      <w:r w:rsidR="006A744D">
        <w:rPr>
          <w:sz w:val="22"/>
          <w:szCs w:val="22"/>
        </w:rPr>
        <w:t>ované</w:t>
      </w:r>
      <w:r w:rsidRPr="00993D5B">
        <w:rPr>
          <w:sz w:val="22"/>
          <w:szCs w:val="22"/>
        </w:rPr>
        <w:t xml:space="preserve"> a dopl</w:t>
      </w:r>
      <w:r w:rsidR="006A744D">
        <w:rPr>
          <w:sz w:val="22"/>
          <w:szCs w:val="22"/>
        </w:rPr>
        <w:t>něné</w:t>
      </w:r>
      <w:r w:rsidRPr="00993D5B">
        <w:rPr>
          <w:sz w:val="22"/>
          <w:szCs w:val="22"/>
        </w:rPr>
        <w:t xml:space="preserve"> vyd. </w:t>
      </w:r>
      <w:r w:rsidR="00D40F3C">
        <w:rPr>
          <w:sz w:val="22"/>
          <w:szCs w:val="22"/>
        </w:rPr>
        <w:t xml:space="preserve">Praha: </w:t>
      </w:r>
      <w:r w:rsidRPr="00993D5B">
        <w:rPr>
          <w:sz w:val="22"/>
          <w:szCs w:val="22"/>
        </w:rPr>
        <w:t>Leges, 2013, 864 s.</w:t>
      </w:r>
      <w:r w:rsidR="000F2C8E">
        <w:rPr>
          <w:sz w:val="22"/>
          <w:szCs w:val="22"/>
        </w:rPr>
        <w:t xml:space="preserve"> ISBN 978-80-87576-44-1</w:t>
      </w:r>
    </w:p>
    <w:p w:rsidR="00993D5B" w:rsidRDefault="00993D5B" w:rsidP="000212A1">
      <w:pPr>
        <w:jc w:val="both"/>
        <w:rPr>
          <w:sz w:val="22"/>
          <w:szCs w:val="22"/>
        </w:rPr>
      </w:pPr>
    </w:p>
    <w:p w:rsidR="0047492C" w:rsidRPr="0047492C" w:rsidRDefault="0047492C" w:rsidP="000212A1">
      <w:pPr>
        <w:jc w:val="both"/>
        <w:rPr>
          <w:sz w:val="22"/>
          <w:szCs w:val="22"/>
        </w:rPr>
      </w:pPr>
      <w:r w:rsidRPr="0047492C">
        <w:rPr>
          <w:sz w:val="22"/>
          <w:szCs w:val="22"/>
        </w:rPr>
        <w:t>JELÍNEK, J</w:t>
      </w:r>
      <w:r w:rsidR="006A744D">
        <w:rPr>
          <w:sz w:val="22"/>
          <w:szCs w:val="22"/>
        </w:rPr>
        <w:t xml:space="preserve">., </w:t>
      </w:r>
      <w:r w:rsidRPr="0047492C">
        <w:rPr>
          <w:sz w:val="22"/>
          <w:szCs w:val="22"/>
        </w:rPr>
        <w:t xml:space="preserve">BERAN, </w:t>
      </w:r>
      <w:r w:rsidR="006A744D">
        <w:rPr>
          <w:sz w:val="22"/>
          <w:szCs w:val="22"/>
        </w:rPr>
        <w:t>K., N</w:t>
      </w:r>
      <w:r w:rsidRPr="0047492C">
        <w:rPr>
          <w:sz w:val="22"/>
          <w:szCs w:val="22"/>
        </w:rPr>
        <w:t>AVRÁTILOVÁ,</w:t>
      </w:r>
      <w:r w:rsidR="006A744D">
        <w:rPr>
          <w:sz w:val="22"/>
          <w:szCs w:val="22"/>
        </w:rPr>
        <w:t xml:space="preserve"> J., </w:t>
      </w:r>
      <w:r w:rsidRPr="0047492C">
        <w:rPr>
          <w:sz w:val="22"/>
          <w:szCs w:val="22"/>
        </w:rPr>
        <w:t>ŘÍHA</w:t>
      </w:r>
      <w:r w:rsidR="006A744D">
        <w:rPr>
          <w:sz w:val="22"/>
          <w:szCs w:val="22"/>
        </w:rPr>
        <w:t xml:space="preserve">, J., </w:t>
      </w:r>
      <w:r w:rsidRPr="0047492C">
        <w:rPr>
          <w:sz w:val="22"/>
          <w:szCs w:val="22"/>
        </w:rPr>
        <w:t>STEJSKAL</w:t>
      </w:r>
      <w:r w:rsidR="006A744D">
        <w:rPr>
          <w:sz w:val="22"/>
          <w:szCs w:val="22"/>
        </w:rPr>
        <w:t>, V</w:t>
      </w:r>
      <w:r w:rsidRPr="0047492C">
        <w:rPr>
          <w:sz w:val="22"/>
          <w:szCs w:val="22"/>
        </w:rPr>
        <w:t>.</w:t>
      </w:r>
      <w:r w:rsidR="006A744D">
        <w:rPr>
          <w:sz w:val="22"/>
          <w:szCs w:val="22"/>
        </w:rPr>
        <w:t>:</w:t>
      </w:r>
      <w:r w:rsidRPr="0047492C">
        <w:rPr>
          <w:sz w:val="22"/>
          <w:szCs w:val="22"/>
        </w:rPr>
        <w:t xml:space="preserve"> </w:t>
      </w:r>
      <w:r w:rsidRPr="0047492C">
        <w:rPr>
          <w:i/>
          <w:iCs/>
          <w:sz w:val="22"/>
          <w:szCs w:val="22"/>
        </w:rPr>
        <w:t>Trestní právo hmotné: obecná část, zvláštní část</w:t>
      </w:r>
      <w:r w:rsidRPr="0047492C">
        <w:rPr>
          <w:sz w:val="22"/>
          <w:szCs w:val="22"/>
        </w:rPr>
        <w:t xml:space="preserve">. 3. vyd. </w:t>
      </w:r>
      <w:r w:rsidR="00D40F3C">
        <w:rPr>
          <w:sz w:val="22"/>
          <w:szCs w:val="22"/>
        </w:rPr>
        <w:t xml:space="preserve">Praha: </w:t>
      </w:r>
      <w:r w:rsidRPr="0047492C">
        <w:rPr>
          <w:sz w:val="22"/>
          <w:szCs w:val="22"/>
        </w:rPr>
        <w:t>Leges, 2013, 968 s.</w:t>
      </w:r>
      <w:r w:rsidR="000F2C8E">
        <w:rPr>
          <w:sz w:val="22"/>
          <w:szCs w:val="22"/>
        </w:rPr>
        <w:t xml:space="preserve"> ISBN 978-80-87576-64-9</w:t>
      </w:r>
    </w:p>
    <w:p w:rsidR="0047492C" w:rsidRDefault="0047492C" w:rsidP="000212A1">
      <w:pPr>
        <w:jc w:val="both"/>
        <w:rPr>
          <w:sz w:val="22"/>
          <w:szCs w:val="22"/>
        </w:rPr>
      </w:pPr>
    </w:p>
    <w:p w:rsidR="0051240A" w:rsidRPr="00E716AA" w:rsidRDefault="0047492C" w:rsidP="000212A1">
      <w:pPr>
        <w:jc w:val="both"/>
        <w:rPr>
          <w:sz w:val="22"/>
          <w:szCs w:val="22"/>
        </w:rPr>
      </w:pPr>
      <w:r>
        <w:rPr>
          <w:sz w:val="22"/>
          <w:szCs w:val="22"/>
        </w:rPr>
        <w:t>J</w:t>
      </w:r>
      <w:r w:rsidR="00E716AA" w:rsidRPr="00E716AA">
        <w:rPr>
          <w:sz w:val="22"/>
          <w:szCs w:val="22"/>
        </w:rPr>
        <w:t>ELÍNEK, J</w:t>
      </w:r>
      <w:r w:rsidR="000A639A">
        <w:rPr>
          <w:sz w:val="22"/>
          <w:szCs w:val="22"/>
        </w:rPr>
        <w:t>.</w:t>
      </w:r>
      <w:r w:rsidR="00E716AA" w:rsidRPr="00E716AA">
        <w:rPr>
          <w:sz w:val="22"/>
          <w:szCs w:val="22"/>
        </w:rPr>
        <w:t xml:space="preserve">, </w:t>
      </w:r>
      <w:r w:rsidR="000A639A">
        <w:rPr>
          <w:sz w:val="22"/>
          <w:szCs w:val="22"/>
        </w:rPr>
        <w:t>D</w:t>
      </w:r>
      <w:r w:rsidR="00E716AA" w:rsidRPr="00E716AA">
        <w:rPr>
          <w:sz w:val="22"/>
          <w:szCs w:val="22"/>
        </w:rPr>
        <w:t>ANKOVÁ,</w:t>
      </w:r>
      <w:r w:rsidR="000A639A">
        <w:rPr>
          <w:sz w:val="22"/>
          <w:szCs w:val="22"/>
        </w:rPr>
        <w:t xml:space="preserve"> K., </w:t>
      </w:r>
      <w:r w:rsidR="00E716AA" w:rsidRPr="00E716AA">
        <w:rPr>
          <w:sz w:val="22"/>
          <w:szCs w:val="22"/>
        </w:rPr>
        <w:t>NAVRÁTILOVÁ,</w:t>
      </w:r>
      <w:r w:rsidR="000A639A">
        <w:rPr>
          <w:sz w:val="22"/>
          <w:szCs w:val="22"/>
        </w:rPr>
        <w:t xml:space="preserve"> J., </w:t>
      </w:r>
      <w:r w:rsidR="00E716AA" w:rsidRPr="00E716AA">
        <w:rPr>
          <w:sz w:val="22"/>
          <w:szCs w:val="22"/>
        </w:rPr>
        <w:t>PELC,</w:t>
      </w:r>
      <w:r w:rsidR="000A639A">
        <w:rPr>
          <w:sz w:val="22"/>
          <w:szCs w:val="22"/>
        </w:rPr>
        <w:t xml:space="preserve"> V., </w:t>
      </w:r>
      <w:r w:rsidR="00E716AA" w:rsidRPr="00E716AA">
        <w:rPr>
          <w:sz w:val="22"/>
          <w:szCs w:val="22"/>
        </w:rPr>
        <w:t>ŘÍHA</w:t>
      </w:r>
      <w:r w:rsidR="000A639A">
        <w:rPr>
          <w:sz w:val="22"/>
          <w:szCs w:val="22"/>
        </w:rPr>
        <w:t xml:space="preserve">, J., </w:t>
      </w:r>
      <w:r w:rsidR="00E716AA" w:rsidRPr="00E716AA">
        <w:rPr>
          <w:sz w:val="22"/>
          <w:szCs w:val="22"/>
        </w:rPr>
        <w:t>STEJSKAL</w:t>
      </w:r>
      <w:r w:rsidR="000A639A">
        <w:rPr>
          <w:sz w:val="22"/>
          <w:szCs w:val="22"/>
        </w:rPr>
        <w:t>, V.:</w:t>
      </w:r>
      <w:r w:rsidR="00E716AA" w:rsidRPr="00E716AA">
        <w:rPr>
          <w:sz w:val="22"/>
          <w:szCs w:val="22"/>
        </w:rPr>
        <w:t xml:space="preserve"> </w:t>
      </w:r>
      <w:r w:rsidR="00E716AA" w:rsidRPr="00E716AA">
        <w:rPr>
          <w:i/>
          <w:iCs/>
          <w:sz w:val="22"/>
          <w:szCs w:val="22"/>
        </w:rPr>
        <w:t>Trestní právo hmotné: obecná část, zvláštní část</w:t>
      </w:r>
      <w:r w:rsidR="00E716AA" w:rsidRPr="00E716AA">
        <w:rPr>
          <w:sz w:val="22"/>
          <w:szCs w:val="22"/>
        </w:rPr>
        <w:t xml:space="preserve">. 4. vyd. </w:t>
      </w:r>
      <w:r w:rsidR="00D40F3C">
        <w:rPr>
          <w:sz w:val="22"/>
          <w:szCs w:val="22"/>
        </w:rPr>
        <w:t>P</w:t>
      </w:r>
      <w:r w:rsidR="00D40F3C" w:rsidRPr="00E716AA">
        <w:rPr>
          <w:sz w:val="22"/>
          <w:szCs w:val="22"/>
        </w:rPr>
        <w:t>raha</w:t>
      </w:r>
      <w:r w:rsidR="00D40F3C">
        <w:rPr>
          <w:sz w:val="22"/>
          <w:szCs w:val="22"/>
        </w:rPr>
        <w:t xml:space="preserve">: </w:t>
      </w:r>
      <w:r w:rsidR="000A639A">
        <w:rPr>
          <w:sz w:val="22"/>
          <w:szCs w:val="22"/>
        </w:rPr>
        <w:t xml:space="preserve">Leges, </w:t>
      </w:r>
      <w:r w:rsidR="00E716AA" w:rsidRPr="00E716AA">
        <w:rPr>
          <w:sz w:val="22"/>
          <w:szCs w:val="22"/>
        </w:rPr>
        <w:t>2014, 976 s.</w:t>
      </w:r>
      <w:r w:rsidR="000F2C8E">
        <w:rPr>
          <w:sz w:val="22"/>
          <w:szCs w:val="22"/>
        </w:rPr>
        <w:t xml:space="preserve"> ISBN 978-80-7502-044-4</w:t>
      </w:r>
    </w:p>
    <w:p w:rsidR="000212A1" w:rsidRPr="00D126F1" w:rsidRDefault="000212A1" w:rsidP="00097D74">
      <w:pPr>
        <w:jc w:val="both"/>
      </w:pPr>
    </w:p>
    <w:p w:rsidR="0073201D" w:rsidRDefault="0073201D" w:rsidP="00E056B9">
      <w:pPr>
        <w:rPr>
          <w:sz w:val="22"/>
          <w:szCs w:val="22"/>
        </w:rPr>
      </w:pPr>
      <w:r w:rsidRPr="00CC33B8">
        <w:rPr>
          <w:sz w:val="22"/>
          <w:szCs w:val="22"/>
        </w:rPr>
        <w:t>PAVLÍČEK, V</w:t>
      </w:r>
      <w:r w:rsidR="000A639A" w:rsidRPr="00CC33B8">
        <w:rPr>
          <w:sz w:val="22"/>
          <w:szCs w:val="22"/>
        </w:rPr>
        <w:t xml:space="preserve">.: </w:t>
      </w:r>
      <w:r w:rsidRPr="00CC33B8">
        <w:rPr>
          <w:i/>
          <w:iCs/>
          <w:sz w:val="22"/>
          <w:szCs w:val="22"/>
        </w:rPr>
        <w:t>Ústavní právo a státověda</w:t>
      </w:r>
      <w:r w:rsidRPr="00CC33B8">
        <w:rPr>
          <w:sz w:val="22"/>
          <w:szCs w:val="22"/>
        </w:rPr>
        <w:t xml:space="preserve">. </w:t>
      </w:r>
      <w:r w:rsidR="000A639A" w:rsidRPr="00CC33B8">
        <w:rPr>
          <w:sz w:val="22"/>
          <w:szCs w:val="22"/>
        </w:rPr>
        <w:t>2. vyd.</w:t>
      </w:r>
      <w:r w:rsidRPr="00CC33B8">
        <w:rPr>
          <w:sz w:val="22"/>
          <w:szCs w:val="22"/>
        </w:rPr>
        <w:t xml:space="preserve">, </w:t>
      </w:r>
      <w:r w:rsidR="000A639A" w:rsidRPr="00CC33B8">
        <w:rPr>
          <w:sz w:val="22"/>
          <w:szCs w:val="22"/>
        </w:rPr>
        <w:t>v L</w:t>
      </w:r>
      <w:r w:rsidRPr="00CC33B8">
        <w:rPr>
          <w:sz w:val="22"/>
          <w:szCs w:val="22"/>
        </w:rPr>
        <w:t>eges 1.</w:t>
      </w:r>
      <w:r w:rsidR="000A639A" w:rsidRPr="00CC33B8">
        <w:rPr>
          <w:sz w:val="22"/>
          <w:szCs w:val="22"/>
        </w:rPr>
        <w:t xml:space="preserve">, </w:t>
      </w:r>
      <w:r w:rsidR="00D40F3C" w:rsidRPr="00CC33B8">
        <w:rPr>
          <w:sz w:val="22"/>
          <w:szCs w:val="22"/>
        </w:rPr>
        <w:t xml:space="preserve">Praha: </w:t>
      </w:r>
      <w:r w:rsidR="000A639A" w:rsidRPr="00CC33B8">
        <w:rPr>
          <w:sz w:val="22"/>
          <w:szCs w:val="22"/>
        </w:rPr>
        <w:t xml:space="preserve">Leges, </w:t>
      </w:r>
      <w:r w:rsidRPr="00CC33B8">
        <w:rPr>
          <w:sz w:val="22"/>
          <w:szCs w:val="22"/>
        </w:rPr>
        <w:t>2014, 363 s.</w:t>
      </w:r>
      <w:r w:rsidR="000F2C8E" w:rsidRPr="00CC33B8">
        <w:rPr>
          <w:sz w:val="22"/>
          <w:szCs w:val="22"/>
        </w:rPr>
        <w:t xml:space="preserve"> ISBN 978-80-7502-053-6</w:t>
      </w:r>
    </w:p>
    <w:p w:rsidR="00CA0293" w:rsidRDefault="00CA0293" w:rsidP="00E056B9">
      <w:pPr>
        <w:rPr>
          <w:sz w:val="22"/>
          <w:szCs w:val="22"/>
        </w:rPr>
      </w:pPr>
    </w:p>
    <w:p w:rsidR="00CA0293" w:rsidRPr="00CA0293" w:rsidRDefault="00CA0293" w:rsidP="00CA0293">
      <w:pPr>
        <w:jc w:val="both"/>
        <w:rPr>
          <w:sz w:val="22"/>
          <w:szCs w:val="22"/>
        </w:rPr>
      </w:pPr>
      <w:r w:rsidRPr="00CC33B8">
        <w:rPr>
          <w:sz w:val="22"/>
          <w:szCs w:val="22"/>
        </w:rPr>
        <w:t>PAVLÍČEK, V</w:t>
      </w:r>
      <w:r w:rsidR="000A639A" w:rsidRPr="00CC33B8">
        <w:rPr>
          <w:sz w:val="22"/>
          <w:szCs w:val="22"/>
        </w:rPr>
        <w:t xml:space="preserve">., </w:t>
      </w:r>
      <w:r w:rsidRPr="00CC33B8">
        <w:rPr>
          <w:sz w:val="22"/>
          <w:szCs w:val="22"/>
        </w:rPr>
        <w:t xml:space="preserve">GRONSKÝ, </w:t>
      </w:r>
      <w:r w:rsidR="000A639A" w:rsidRPr="00CC33B8">
        <w:rPr>
          <w:sz w:val="22"/>
          <w:szCs w:val="22"/>
        </w:rPr>
        <w:t xml:space="preserve">J., </w:t>
      </w:r>
      <w:r w:rsidRPr="00CC33B8">
        <w:rPr>
          <w:sz w:val="22"/>
          <w:szCs w:val="22"/>
        </w:rPr>
        <w:t xml:space="preserve">HŘEBEJK, </w:t>
      </w:r>
      <w:r w:rsidR="000A639A" w:rsidRPr="00CC33B8">
        <w:rPr>
          <w:sz w:val="22"/>
          <w:szCs w:val="22"/>
        </w:rPr>
        <w:t xml:space="preserve">J., </w:t>
      </w:r>
      <w:r w:rsidRPr="00CC33B8">
        <w:rPr>
          <w:sz w:val="22"/>
          <w:szCs w:val="22"/>
        </w:rPr>
        <w:t xml:space="preserve">JIRÁSKOVÁ, </w:t>
      </w:r>
      <w:r w:rsidR="000A639A" w:rsidRPr="00CC33B8">
        <w:rPr>
          <w:sz w:val="22"/>
          <w:szCs w:val="22"/>
        </w:rPr>
        <w:t>V., M</w:t>
      </w:r>
      <w:r w:rsidRPr="00CC33B8">
        <w:rPr>
          <w:sz w:val="22"/>
          <w:szCs w:val="22"/>
        </w:rPr>
        <w:t xml:space="preserve">IKULE, </w:t>
      </w:r>
      <w:r w:rsidR="000A639A" w:rsidRPr="00CC33B8">
        <w:rPr>
          <w:sz w:val="22"/>
          <w:szCs w:val="22"/>
        </w:rPr>
        <w:t xml:space="preserve">V., </w:t>
      </w:r>
      <w:r w:rsidRPr="00CC33B8">
        <w:rPr>
          <w:sz w:val="22"/>
          <w:szCs w:val="22"/>
        </w:rPr>
        <w:t xml:space="preserve">PEŠKA, </w:t>
      </w:r>
      <w:r w:rsidR="000A639A" w:rsidRPr="00CC33B8">
        <w:rPr>
          <w:sz w:val="22"/>
          <w:szCs w:val="22"/>
        </w:rPr>
        <w:t xml:space="preserve">P., </w:t>
      </w:r>
      <w:r w:rsidRPr="00CC33B8">
        <w:rPr>
          <w:sz w:val="22"/>
          <w:szCs w:val="22"/>
        </w:rPr>
        <w:t xml:space="preserve"> SLÁDEČEK,</w:t>
      </w:r>
      <w:r w:rsidR="001C6D51" w:rsidRPr="00CC33B8">
        <w:rPr>
          <w:sz w:val="22"/>
          <w:szCs w:val="22"/>
        </w:rPr>
        <w:t xml:space="preserve"> V., </w:t>
      </w:r>
      <w:r w:rsidRPr="00CC33B8">
        <w:rPr>
          <w:sz w:val="22"/>
          <w:szCs w:val="22"/>
        </w:rPr>
        <w:t>SUCHÁNEK</w:t>
      </w:r>
      <w:r w:rsidR="001C6D51" w:rsidRPr="00CC33B8">
        <w:rPr>
          <w:sz w:val="22"/>
          <w:szCs w:val="22"/>
        </w:rPr>
        <w:t xml:space="preserve">, R., </w:t>
      </w:r>
      <w:r w:rsidRPr="00CC33B8">
        <w:rPr>
          <w:sz w:val="22"/>
          <w:szCs w:val="22"/>
        </w:rPr>
        <w:t>SYLLOVÁ</w:t>
      </w:r>
      <w:r w:rsidR="001C6D51" w:rsidRPr="00CC33B8">
        <w:rPr>
          <w:sz w:val="22"/>
          <w:szCs w:val="22"/>
        </w:rPr>
        <w:t xml:space="preserve">, J.: </w:t>
      </w:r>
      <w:r w:rsidRPr="00CC33B8">
        <w:rPr>
          <w:i/>
          <w:iCs/>
          <w:sz w:val="22"/>
          <w:szCs w:val="22"/>
        </w:rPr>
        <w:t>Ústavní právo a státověda</w:t>
      </w:r>
      <w:r w:rsidRPr="00CC33B8">
        <w:rPr>
          <w:sz w:val="22"/>
          <w:szCs w:val="22"/>
        </w:rPr>
        <w:t>. 2.</w:t>
      </w:r>
      <w:r w:rsidR="001C6D51" w:rsidRPr="00CC33B8">
        <w:rPr>
          <w:sz w:val="22"/>
          <w:szCs w:val="22"/>
        </w:rPr>
        <w:t>,</w:t>
      </w:r>
      <w:r w:rsidRPr="00CC33B8">
        <w:rPr>
          <w:sz w:val="22"/>
          <w:szCs w:val="22"/>
        </w:rPr>
        <w:t xml:space="preserve"> aktualizované vyd</w:t>
      </w:r>
      <w:r w:rsidR="001C6D51" w:rsidRPr="00CC33B8">
        <w:rPr>
          <w:sz w:val="22"/>
          <w:szCs w:val="22"/>
        </w:rPr>
        <w:t>.</w:t>
      </w:r>
      <w:r w:rsidRPr="00CC33B8">
        <w:rPr>
          <w:sz w:val="22"/>
          <w:szCs w:val="22"/>
        </w:rPr>
        <w:t xml:space="preserve">  </w:t>
      </w:r>
      <w:r w:rsidR="00D40F3C" w:rsidRPr="00CC33B8">
        <w:rPr>
          <w:sz w:val="22"/>
          <w:szCs w:val="22"/>
        </w:rPr>
        <w:t xml:space="preserve">Praha: </w:t>
      </w:r>
      <w:r w:rsidRPr="00CC33B8">
        <w:rPr>
          <w:sz w:val="22"/>
          <w:szCs w:val="22"/>
        </w:rPr>
        <w:t>Leges, 2015, 1152 s.</w:t>
      </w:r>
      <w:r w:rsidR="000F2C8E" w:rsidRPr="00CC33B8">
        <w:rPr>
          <w:sz w:val="22"/>
          <w:szCs w:val="22"/>
        </w:rPr>
        <w:t xml:space="preserve"> ISBN 978-80-7502-084-0</w:t>
      </w:r>
    </w:p>
    <w:p w:rsidR="0073201D" w:rsidRDefault="0073201D" w:rsidP="00E056B9"/>
    <w:p w:rsidR="00E056B9" w:rsidRDefault="00E056B9" w:rsidP="00E056B9">
      <w:r w:rsidRPr="0028334C">
        <w:t xml:space="preserve">POMAHAČ, R. a kol.: </w:t>
      </w:r>
      <w:r w:rsidRPr="0028334C">
        <w:rPr>
          <w:i/>
        </w:rPr>
        <w:t>Veřejná správa</w:t>
      </w:r>
      <w:r w:rsidR="000F2C8E">
        <w:t xml:space="preserve">. </w:t>
      </w:r>
      <w:r w:rsidR="00D40F3C">
        <w:t xml:space="preserve">Praha: </w:t>
      </w:r>
      <w:r w:rsidR="000F2C8E">
        <w:t xml:space="preserve">C. H. </w:t>
      </w:r>
      <w:r w:rsidR="001C6D51">
        <w:t xml:space="preserve">Beck, </w:t>
      </w:r>
      <w:r w:rsidRPr="0028334C">
        <w:t>2013, 335 s</w:t>
      </w:r>
      <w:r w:rsidR="00C55930">
        <w:t>.</w:t>
      </w:r>
      <w:r w:rsidR="000F2C8E">
        <w:t xml:space="preserve"> 978-80-7400-447-6</w:t>
      </w:r>
    </w:p>
    <w:p w:rsidR="001C6D51" w:rsidRDefault="001C6D51" w:rsidP="00C55930">
      <w:pPr>
        <w:jc w:val="both"/>
        <w:rPr>
          <w:sz w:val="22"/>
          <w:szCs w:val="22"/>
        </w:rPr>
      </w:pPr>
    </w:p>
    <w:p w:rsidR="00C55930" w:rsidRPr="00C55930" w:rsidRDefault="00C55930" w:rsidP="00C55930">
      <w:pPr>
        <w:jc w:val="both"/>
        <w:rPr>
          <w:sz w:val="22"/>
          <w:szCs w:val="22"/>
        </w:rPr>
      </w:pPr>
      <w:r w:rsidRPr="00C55930">
        <w:rPr>
          <w:sz w:val="22"/>
          <w:szCs w:val="22"/>
        </w:rPr>
        <w:t>ŠÁMAL, P</w:t>
      </w:r>
      <w:r w:rsidR="001C6D51">
        <w:rPr>
          <w:sz w:val="22"/>
          <w:szCs w:val="22"/>
        </w:rPr>
        <w:t xml:space="preserve">., </w:t>
      </w:r>
      <w:r w:rsidRPr="00C55930">
        <w:rPr>
          <w:sz w:val="22"/>
          <w:szCs w:val="22"/>
        </w:rPr>
        <w:t>NOVOTNÝ,</w:t>
      </w:r>
      <w:r w:rsidR="001C6D51">
        <w:rPr>
          <w:sz w:val="22"/>
          <w:szCs w:val="22"/>
        </w:rPr>
        <w:t xml:space="preserve"> O., G</w:t>
      </w:r>
      <w:r w:rsidRPr="00C55930">
        <w:rPr>
          <w:sz w:val="22"/>
          <w:szCs w:val="22"/>
        </w:rPr>
        <w:t xml:space="preserve">ŘIVNA, </w:t>
      </w:r>
      <w:r w:rsidR="001C6D51">
        <w:rPr>
          <w:sz w:val="22"/>
          <w:szCs w:val="22"/>
        </w:rPr>
        <w:t>T., H</w:t>
      </w:r>
      <w:r w:rsidRPr="00C55930">
        <w:rPr>
          <w:sz w:val="22"/>
          <w:szCs w:val="22"/>
        </w:rPr>
        <w:t>ERCZEG,</w:t>
      </w:r>
      <w:r w:rsidR="001C6D51">
        <w:rPr>
          <w:sz w:val="22"/>
          <w:szCs w:val="22"/>
        </w:rPr>
        <w:t xml:space="preserve"> J., </w:t>
      </w:r>
      <w:r w:rsidRPr="00C55930">
        <w:rPr>
          <w:sz w:val="22"/>
          <w:szCs w:val="22"/>
        </w:rPr>
        <w:t>VANDUCHOVÁ</w:t>
      </w:r>
      <w:r w:rsidR="001C6D51">
        <w:rPr>
          <w:sz w:val="22"/>
          <w:szCs w:val="22"/>
        </w:rPr>
        <w:t xml:space="preserve">, M., </w:t>
      </w:r>
      <w:r w:rsidRPr="00C55930">
        <w:rPr>
          <w:sz w:val="22"/>
          <w:szCs w:val="22"/>
        </w:rPr>
        <w:t>VOKOUN</w:t>
      </w:r>
      <w:r w:rsidR="001C6D51">
        <w:rPr>
          <w:sz w:val="22"/>
          <w:szCs w:val="22"/>
        </w:rPr>
        <w:t>, R.:</w:t>
      </w:r>
      <w:r w:rsidRPr="00C55930">
        <w:rPr>
          <w:sz w:val="22"/>
          <w:szCs w:val="22"/>
        </w:rPr>
        <w:t xml:space="preserve"> </w:t>
      </w:r>
      <w:r w:rsidRPr="00C55930">
        <w:rPr>
          <w:i/>
          <w:iCs/>
          <w:sz w:val="22"/>
          <w:szCs w:val="22"/>
        </w:rPr>
        <w:t>Trestní právo hmotné</w:t>
      </w:r>
      <w:r w:rsidRPr="00C55930">
        <w:rPr>
          <w:sz w:val="22"/>
          <w:szCs w:val="22"/>
        </w:rPr>
        <w:t>. 7., přeprac</w:t>
      </w:r>
      <w:r w:rsidR="001C6D51">
        <w:rPr>
          <w:sz w:val="22"/>
          <w:szCs w:val="22"/>
        </w:rPr>
        <w:t>ované</w:t>
      </w:r>
      <w:r w:rsidRPr="00C55930">
        <w:rPr>
          <w:sz w:val="22"/>
          <w:szCs w:val="22"/>
        </w:rPr>
        <w:t xml:space="preserve"> vyd. </w:t>
      </w:r>
      <w:r w:rsidR="00D40F3C">
        <w:rPr>
          <w:sz w:val="22"/>
          <w:szCs w:val="22"/>
        </w:rPr>
        <w:t xml:space="preserve">Praha: </w:t>
      </w:r>
      <w:r w:rsidRPr="00C55930">
        <w:rPr>
          <w:sz w:val="22"/>
          <w:szCs w:val="22"/>
        </w:rPr>
        <w:t>Wolters Kluwer, 2014, 1040 s.</w:t>
      </w:r>
      <w:r w:rsidR="000F2C8E">
        <w:rPr>
          <w:sz w:val="22"/>
          <w:szCs w:val="22"/>
        </w:rPr>
        <w:t xml:space="preserve">                  ISBN 978-80-7478-616-7</w:t>
      </w:r>
    </w:p>
    <w:p w:rsidR="00E056B9" w:rsidRDefault="00E056B9" w:rsidP="00E056B9">
      <w:pPr>
        <w:rPr>
          <w:highlight w:val="yellow"/>
        </w:rPr>
      </w:pPr>
    </w:p>
    <w:p w:rsidR="009E7855" w:rsidRPr="009E7855" w:rsidRDefault="009E7855" w:rsidP="004F0784">
      <w:pPr>
        <w:jc w:val="both"/>
        <w:rPr>
          <w:sz w:val="22"/>
          <w:szCs w:val="22"/>
        </w:rPr>
      </w:pPr>
      <w:r w:rsidRPr="009E7855">
        <w:rPr>
          <w:sz w:val="22"/>
          <w:szCs w:val="22"/>
        </w:rPr>
        <w:t xml:space="preserve">TOMÁŠEK, Michal. </w:t>
      </w:r>
      <w:r w:rsidRPr="009E7855">
        <w:rPr>
          <w:i/>
          <w:iCs/>
          <w:sz w:val="22"/>
          <w:szCs w:val="22"/>
        </w:rPr>
        <w:t>Kapesní česko-čínský, čínsko-český právnický slovníček</w:t>
      </w:r>
      <w:r w:rsidR="00F64E19">
        <w:rPr>
          <w:i/>
          <w:iCs/>
          <w:sz w:val="22"/>
          <w:szCs w:val="22"/>
        </w:rPr>
        <w:t xml:space="preserve"> </w:t>
      </w:r>
      <w:r w:rsidR="00F64E19" w:rsidRPr="00504613">
        <w:rPr>
          <w:rFonts w:eastAsia="Calibri"/>
          <w:color w:val="000000"/>
          <w:sz w:val="22"/>
          <w:szCs w:val="22"/>
          <w:lang w:eastAsia="en-US"/>
        </w:rPr>
        <w:t xml:space="preserve">– </w:t>
      </w:r>
      <w:r w:rsidR="00F64E19" w:rsidRPr="00504613">
        <w:rPr>
          <w:rFonts w:eastAsia="SimSun"/>
          <w:color w:val="000000"/>
          <w:sz w:val="22"/>
          <w:szCs w:val="22"/>
        </w:rPr>
        <w:t>袖</w:t>
      </w:r>
      <w:r w:rsidR="00F64E19" w:rsidRPr="00504613">
        <w:rPr>
          <w:rFonts w:eastAsia="SimSun"/>
          <w:color w:val="000000"/>
          <w:sz w:val="22"/>
          <w:szCs w:val="22"/>
          <w:lang w:eastAsia="zh-CN"/>
        </w:rPr>
        <w:t>珍</w:t>
      </w:r>
      <w:r w:rsidR="00F64E19" w:rsidRPr="00504613">
        <w:rPr>
          <w:rFonts w:ascii="MS Mincho" w:eastAsia="MS Mincho" w:hAnsi="MS Mincho" w:cs="MS Mincho" w:hint="eastAsia"/>
          <w:color w:val="000000"/>
          <w:sz w:val="22"/>
          <w:szCs w:val="22"/>
        </w:rPr>
        <w:t>捷</w:t>
      </w:r>
      <w:r w:rsidR="00F64E19" w:rsidRPr="00504613">
        <w:rPr>
          <w:rFonts w:eastAsia="SimSun"/>
          <w:color w:val="000000"/>
          <w:sz w:val="22"/>
          <w:szCs w:val="22"/>
        </w:rPr>
        <w:t>汉</w:t>
      </w:r>
      <w:r w:rsidR="00F64E19" w:rsidRPr="00504613">
        <w:rPr>
          <w:color w:val="000000"/>
          <w:sz w:val="22"/>
          <w:szCs w:val="22"/>
        </w:rPr>
        <w:t>/</w:t>
      </w:r>
      <w:r w:rsidR="00F64E19" w:rsidRPr="00504613">
        <w:rPr>
          <w:rFonts w:eastAsia="SimSun"/>
          <w:color w:val="000000"/>
          <w:sz w:val="22"/>
          <w:szCs w:val="22"/>
        </w:rPr>
        <w:t>汉</w:t>
      </w:r>
      <w:r w:rsidR="00F64E19" w:rsidRPr="00504613">
        <w:rPr>
          <w:rFonts w:ascii="MS Mincho" w:eastAsia="MS Mincho" w:hAnsi="MS Mincho" w:cs="MS Mincho" w:hint="eastAsia"/>
          <w:color w:val="000000"/>
          <w:sz w:val="22"/>
          <w:szCs w:val="22"/>
        </w:rPr>
        <w:t>捷</w:t>
      </w:r>
      <w:r w:rsidR="00F64E19" w:rsidRPr="00504613">
        <w:rPr>
          <w:rFonts w:eastAsia="SimSun"/>
          <w:color w:val="000000"/>
          <w:sz w:val="22"/>
          <w:szCs w:val="22"/>
        </w:rPr>
        <w:t>法律词汇</w:t>
      </w:r>
      <w:r w:rsidRPr="009E7855">
        <w:rPr>
          <w:sz w:val="22"/>
          <w:szCs w:val="22"/>
        </w:rPr>
        <w:t>. Plzeň: Vydavatelství a nakladatelství Aleš Čeněk, 2014, 110 stran. ISBN 978-80-7380-502-9.</w:t>
      </w:r>
    </w:p>
    <w:p w:rsidR="009E7855" w:rsidRDefault="009E7855" w:rsidP="004F0784">
      <w:pPr>
        <w:jc w:val="both"/>
        <w:rPr>
          <w:sz w:val="22"/>
          <w:szCs w:val="22"/>
        </w:rPr>
      </w:pPr>
    </w:p>
    <w:p w:rsidR="004F0784" w:rsidRDefault="004F0784" w:rsidP="004F0784">
      <w:pPr>
        <w:jc w:val="both"/>
        <w:rPr>
          <w:sz w:val="22"/>
          <w:szCs w:val="22"/>
        </w:rPr>
      </w:pPr>
      <w:r w:rsidRPr="004F0784">
        <w:rPr>
          <w:sz w:val="22"/>
          <w:szCs w:val="22"/>
        </w:rPr>
        <w:t>TOMÁŠEK, M</w:t>
      </w:r>
      <w:r w:rsidR="001C6D51">
        <w:rPr>
          <w:sz w:val="22"/>
          <w:szCs w:val="22"/>
        </w:rPr>
        <w:t xml:space="preserve">., </w:t>
      </w:r>
      <w:r w:rsidRPr="004F0784">
        <w:rPr>
          <w:sz w:val="22"/>
          <w:szCs w:val="22"/>
        </w:rPr>
        <w:t xml:space="preserve"> TÝČ</w:t>
      </w:r>
      <w:r w:rsidR="001C6D51">
        <w:rPr>
          <w:sz w:val="22"/>
          <w:szCs w:val="22"/>
        </w:rPr>
        <w:t xml:space="preserve">, V. </w:t>
      </w:r>
      <w:r w:rsidR="000F2C8E">
        <w:rPr>
          <w:sz w:val="22"/>
          <w:szCs w:val="22"/>
        </w:rPr>
        <w:t>a kol.</w:t>
      </w:r>
      <w:r w:rsidR="001C6D51">
        <w:rPr>
          <w:sz w:val="22"/>
          <w:szCs w:val="22"/>
        </w:rPr>
        <w:t>:</w:t>
      </w:r>
      <w:r w:rsidRPr="004F0784">
        <w:rPr>
          <w:sz w:val="22"/>
          <w:szCs w:val="22"/>
        </w:rPr>
        <w:t xml:space="preserve"> </w:t>
      </w:r>
      <w:r w:rsidRPr="004F0784">
        <w:rPr>
          <w:i/>
          <w:iCs/>
          <w:sz w:val="22"/>
          <w:szCs w:val="22"/>
        </w:rPr>
        <w:t>Právo Evropské unie</w:t>
      </w:r>
      <w:r w:rsidRPr="004F0784">
        <w:rPr>
          <w:sz w:val="22"/>
          <w:szCs w:val="22"/>
        </w:rPr>
        <w:t xml:space="preserve">. </w:t>
      </w:r>
      <w:r w:rsidR="00D40F3C">
        <w:rPr>
          <w:sz w:val="22"/>
          <w:szCs w:val="22"/>
        </w:rPr>
        <w:t xml:space="preserve">Praha: </w:t>
      </w:r>
      <w:r w:rsidR="001C6D51">
        <w:rPr>
          <w:sz w:val="22"/>
          <w:szCs w:val="22"/>
        </w:rPr>
        <w:t>Leges</w:t>
      </w:r>
      <w:r w:rsidRPr="004F0784">
        <w:rPr>
          <w:sz w:val="22"/>
          <w:szCs w:val="22"/>
        </w:rPr>
        <w:t>, 2013, 494 s.</w:t>
      </w:r>
      <w:r w:rsidR="000F2C8E">
        <w:rPr>
          <w:sz w:val="22"/>
          <w:szCs w:val="22"/>
        </w:rPr>
        <w:t xml:space="preserve"> </w:t>
      </w:r>
      <w:r w:rsidR="00DF413F">
        <w:rPr>
          <w:sz w:val="22"/>
          <w:szCs w:val="22"/>
        </w:rPr>
        <w:t xml:space="preserve">                       </w:t>
      </w:r>
      <w:r w:rsidR="000F2C8E">
        <w:rPr>
          <w:sz w:val="22"/>
          <w:szCs w:val="22"/>
        </w:rPr>
        <w:t>ISBN 978-80-87576-53-3</w:t>
      </w:r>
    </w:p>
    <w:p w:rsidR="003503C9" w:rsidRDefault="003503C9" w:rsidP="004F0784">
      <w:pPr>
        <w:jc w:val="both"/>
        <w:rPr>
          <w:sz w:val="22"/>
          <w:szCs w:val="22"/>
        </w:rPr>
      </w:pPr>
    </w:p>
    <w:p w:rsidR="000212A1" w:rsidRDefault="003503C9" w:rsidP="00097D74">
      <w:pPr>
        <w:jc w:val="both"/>
        <w:rPr>
          <w:sz w:val="22"/>
          <w:szCs w:val="22"/>
        </w:rPr>
      </w:pPr>
      <w:r w:rsidRPr="003503C9">
        <w:rPr>
          <w:sz w:val="22"/>
          <w:szCs w:val="22"/>
        </w:rPr>
        <w:t>TRÖSTER, P</w:t>
      </w:r>
      <w:r w:rsidR="001C6D51">
        <w:rPr>
          <w:sz w:val="22"/>
          <w:szCs w:val="22"/>
        </w:rPr>
        <w:t>.</w:t>
      </w:r>
      <w:r w:rsidR="00DF413F">
        <w:rPr>
          <w:sz w:val="22"/>
          <w:szCs w:val="22"/>
        </w:rPr>
        <w:t xml:space="preserve"> a kol.</w:t>
      </w:r>
      <w:r w:rsidR="001C6D51">
        <w:rPr>
          <w:sz w:val="22"/>
          <w:szCs w:val="22"/>
        </w:rPr>
        <w:t>:</w:t>
      </w:r>
      <w:r w:rsidRPr="003503C9">
        <w:rPr>
          <w:sz w:val="22"/>
          <w:szCs w:val="22"/>
        </w:rPr>
        <w:t xml:space="preserve"> </w:t>
      </w:r>
      <w:r w:rsidRPr="003503C9">
        <w:rPr>
          <w:i/>
          <w:iCs/>
          <w:sz w:val="22"/>
          <w:szCs w:val="22"/>
        </w:rPr>
        <w:t>Právo sociálního zabezpečení</w:t>
      </w:r>
      <w:r w:rsidRPr="003503C9">
        <w:rPr>
          <w:sz w:val="22"/>
          <w:szCs w:val="22"/>
        </w:rPr>
        <w:t>. 6.</w:t>
      </w:r>
      <w:r w:rsidR="001C6D51">
        <w:rPr>
          <w:sz w:val="22"/>
          <w:szCs w:val="22"/>
        </w:rPr>
        <w:t>,</w:t>
      </w:r>
      <w:r w:rsidRPr="003503C9">
        <w:rPr>
          <w:sz w:val="22"/>
          <w:szCs w:val="22"/>
        </w:rPr>
        <w:t xml:space="preserve"> podstatně přeprac</w:t>
      </w:r>
      <w:r w:rsidR="001C6D51">
        <w:rPr>
          <w:sz w:val="22"/>
          <w:szCs w:val="22"/>
        </w:rPr>
        <w:t xml:space="preserve">ované </w:t>
      </w:r>
      <w:r w:rsidRPr="003503C9">
        <w:rPr>
          <w:sz w:val="22"/>
          <w:szCs w:val="22"/>
        </w:rPr>
        <w:t>a aktualiz</w:t>
      </w:r>
      <w:r w:rsidR="001C6D51">
        <w:rPr>
          <w:sz w:val="22"/>
          <w:szCs w:val="22"/>
        </w:rPr>
        <w:t>ované</w:t>
      </w:r>
      <w:r w:rsidRPr="003503C9">
        <w:rPr>
          <w:sz w:val="22"/>
          <w:szCs w:val="22"/>
        </w:rPr>
        <w:t xml:space="preserve"> vyd. </w:t>
      </w:r>
      <w:r w:rsidR="00D40F3C">
        <w:rPr>
          <w:sz w:val="22"/>
          <w:szCs w:val="22"/>
        </w:rPr>
        <w:t>Praha:</w:t>
      </w:r>
      <w:r w:rsidR="00D40F3C" w:rsidRPr="003503C9">
        <w:rPr>
          <w:sz w:val="22"/>
          <w:szCs w:val="22"/>
        </w:rPr>
        <w:t xml:space="preserve"> </w:t>
      </w:r>
      <w:r w:rsidR="00DF413F" w:rsidRPr="003503C9">
        <w:rPr>
          <w:sz w:val="22"/>
          <w:szCs w:val="22"/>
        </w:rPr>
        <w:t>C.H.</w:t>
      </w:r>
      <w:r w:rsidR="00DF413F">
        <w:rPr>
          <w:sz w:val="22"/>
          <w:szCs w:val="22"/>
        </w:rPr>
        <w:t xml:space="preserve"> </w:t>
      </w:r>
      <w:r w:rsidRPr="003503C9">
        <w:rPr>
          <w:sz w:val="22"/>
          <w:szCs w:val="22"/>
        </w:rPr>
        <w:t xml:space="preserve">Beck, 2013, </w:t>
      </w:r>
      <w:r w:rsidR="00DF413F">
        <w:rPr>
          <w:sz w:val="22"/>
          <w:szCs w:val="22"/>
        </w:rPr>
        <w:t>320</w:t>
      </w:r>
      <w:r w:rsidRPr="003503C9">
        <w:rPr>
          <w:sz w:val="22"/>
          <w:szCs w:val="22"/>
        </w:rPr>
        <w:t xml:space="preserve"> s.</w:t>
      </w:r>
      <w:r w:rsidR="00DF413F">
        <w:rPr>
          <w:sz w:val="22"/>
          <w:szCs w:val="22"/>
        </w:rPr>
        <w:t xml:space="preserve"> ISBN  978-80-7400-473-5</w:t>
      </w:r>
    </w:p>
    <w:p w:rsidR="00DF413F" w:rsidRDefault="00DF413F" w:rsidP="00097D74">
      <w:pPr>
        <w:jc w:val="both"/>
      </w:pPr>
    </w:p>
    <w:p w:rsidR="00E7513E" w:rsidRDefault="00E7513E" w:rsidP="00E7513E">
      <w:pPr>
        <w:jc w:val="both"/>
        <w:rPr>
          <w:sz w:val="22"/>
          <w:szCs w:val="22"/>
        </w:rPr>
      </w:pPr>
      <w:r w:rsidRPr="00124AFF">
        <w:rPr>
          <w:sz w:val="22"/>
          <w:szCs w:val="22"/>
        </w:rPr>
        <w:t>V</w:t>
      </w:r>
      <w:r>
        <w:rPr>
          <w:sz w:val="22"/>
          <w:szCs w:val="22"/>
        </w:rPr>
        <w:t>YBÍRAL</w:t>
      </w:r>
      <w:r w:rsidRPr="00124AFF">
        <w:rPr>
          <w:sz w:val="22"/>
          <w:szCs w:val="22"/>
        </w:rPr>
        <w:t>, R</w:t>
      </w:r>
      <w:r>
        <w:rPr>
          <w:sz w:val="22"/>
          <w:szCs w:val="22"/>
        </w:rPr>
        <w:t>.</w:t>
      </w:r>
      <w:r w:rsidRPr="00124AFF">
        <w:rPr>
          <w:sz w:val="22"/>
          <w:szCs w:val="22"/>
        </w:rPr>
        <w:t xml:space="preserve"> et al. </w:t>
      </w:r>
      <w:r w:rsidRPr="00124AFF">
        <w:rPr>
          <w:i/>
          <w:sz w:val="22"/>
          <w:szCs w:val="22"/>
        </w:rPr>
        <w:t>Praktikum Finanční právo</w:t>
      </w:r>
      <w:r w:rsidRPr="00124AFF">
        <w:rPr>
          <w:sz w:val="22"/>
          <w:szCs w:val="22"/>
        </w:rPr>
        <w:t>. Plzeň: Aleš Čeněk, 2014. 191 s. ISBN 978-80-7380-532-6. s. 37-56.</w:t>
      </w:r>
    </w:p>
    <w:p w:rsidR="000212A1" w:rsidRPr="0075347D" w:rsidRDefault="006603C4" w:rsidP="000212A1">
      <w:pPr>
        <w:keepNext/>
        <w:jc w:val="both"/>
        <w:rPr>
          <w:b/>
        </w:rPr>
      </w:pPr>
      <w:r>
        <w:rPr>
          <w:b/>
        </w:rPr>
        <w:lastRenderedPageBreak/>
        <w:t>A3</w:t>
      </w:r>
      <w:r w:rsidR="000212A1" w:rsidRPr="0075347D">
        <w:rPr>
          <w:b/>
        </w:rPr>
        <w:t>.</w:t>
      </w:r>
    </w:p>
    <w:p w:rsidR="000212A1" w:rsidRPr="00D126F1" w:rsidRDefault="000212A1" w:rsidP="000212A1">
      <w:pPr>
        <w:keepNext/>
        <w:jc w:val="both"/>
        <w:rPr>
          <w:b/>
        </w:rPr>
      </w:pPr>
      <w:r w:rsidRPr="00D126F1">
        <w:rPr>
          <w:b/>
        </w:rPr>
        <w:t>Výsledky uskutečňování programu</w:t>
      </w:r>
    </w:p>
    <w:p w:rsidR="000212A1" w:rsidRPr="006603C4" w:rsidRDefault="000212A1" w:rsidP="000212A1">
      <w:pPr>
        <w:keepNext/>
        <w:jc w:val="both"/>
        <w:rPr>
          <w:i/>
          <w:sz w:val="22"/>
          <w:szCs w:val="22"/>
        </w:rPr>
      </w:pPr>
      <w:r w:rsidRPr="006603C4">
        <w:rPr>
          <w:i/>
          <w:sz w:val="22"/>
          <w:szCs w:val="22"/>
        </w:rPr>
        <w:t xml:space="preserve">Podejte výčet </w:t>
      </w:r>
      <w:r w:rsidR="0086422D" w:rsidRPr="006603C4">
        <w:rPr>
          <w:i/>
          <w:sz w:val="22"/>
          <w:szCs w:val="22"/>
          <w:u w:val="single"/>
        </w:rPr>
        <w:t>nanejvýš</w:t>
      </w:r>
      <w:r w:rsidRPr="006603C4">
        <w:rPr>
          <w:i/>
          <w:sz w:val="22"/>
          <w:szCs w:val="22"/>
          <w:u w:val="single"/>
        </w:rPr>
        <w:t xml:space="preserve"> deseti</w:t>
      </w:r>
      <w:r w:rsidRPr="006603C4">
        <w:rPr>
          <w:i/>
          <w:sz w:val="22"/>
          <w:szCs w:val="22"/>
        </w:rPr>
        <w:t xml:space="preserve"> nejvýznamnějších výsledků vytvořených v rámci programu za rok 201</w:t>
      </w:r>
      <w:r w:rsidR="00125DAE" w:rsidRPr="006603C4">
        <w:rPr>
          <w:i/>
          <w:sz w:val="22"/>
          <w:szCs w:val="22"/>
        </w:rPr>
        <w:t>5.</w:t>
      </w:r>
      <w:r w:rsidRPr="006603C4">
        <w:rPr>
          <w:i/>
          <w:sz w:val="22"/>
          <w:szCs w:val="22"/>
        </w:rPr>
        <w:t xml:space="preserve"> </w:t>
      </w:r>
      <w:r w:rsidR="0086422D" w:rsidRPr="006603C4">
        <w:rPr>
          <w:i/>
          <w:sz w:val="22"/>
          <w:szCs w:val="22"/>
        </w:rPr>
        <w:t>Uvádějte jen výsledky publikované nebo přijaté k publikaci v roce 2015</w:t>
      </w:r>
      <w:r w:rsidR="00F745B1" w:rsidRPr="006603C4">
        <w:rPr>
          <w:i/>
          <w:sz w:val="22"/>
          <w:szCs w:val="22"/>
        </w:rPr>
        <w:t>;</w:t>
      </w:r>
      <w:r w:rsidR="0086422D" w:rsidRPr="006603C4">
        <w:rPr>
          <w:i/>
          <w:sz w:val="22"/>
          <w:szCs w:val="22"/>
        </w:rPr>
        <w:t xml:space="preserve"> výsledky, které byly v r. 2015 teprve přijaty</w:t>
      </w:r>
      <w:r w:rsidR="00F745B1" w:rsidRPr="006603C4">
        <w:rPr>
          <w:i/>
          <w:sz w:val="22"/>
          <w:szCs w:val="22"/>
        </w:rPr>
        <w:t xml:space="preserve"> k publikaci, opatřete poznámkou</w:t>
      </w:r>
      <w:r w:rsidR="0086422D" w:rsidRPr="006603C4">
        <w:rPr>
          <w:i/>
          <w:sz w:val="22"/>
          <w:szCs w:val="22"/>
        </w:rPr>
        <w:t xml:space="preserve">. </w:t>
      </w:r>
      <w:r w:rsidR="00F745B1" w:rsidRPr="006603C4">
        <w:rPr>
          <w:i/>
          <w:sz w:val="22"/>
          <w:szCs w:val="22"/>
        </w:rPr>
        <w:t xml:space="preserve">U každého výsledku uveďte plnou citaci, případně </w:t>
      </w:r>
      <w:r w:rsidR="006F0CBC" w:rsidRPr="006603C4">
        <w:rPr>
          <w:i/>
          <w:sz w:val="22"/>
          <w:szCs w:val="22"/>
        </w:rPr>
        <w:t>i</w:t>
      </w:r>
      <w:r w:rsidR="00F745B1" w:rsidRPr="006603C4">
        <w:rPr>
          <w:i/>
          <w:sz w:val="22"/>
          <w:szCs w:val="22"/>
        </w:rPr>
        <w:t xml:space="preserve"> odkaz na fulltext. </w:t>
      </w:r>
      <w:r w:rsidRPr="006603C4">
        <w:rPr>
          <w:i/>
          <w:sz w:val="22"/>
          <w:szCs w:val="22"/>
        </w:rPr>
        <w:t>U společných programů vyznačte, které výsledky vznikly v rámci mezifakultní spolupráce.</w:t>
      </w:r>
    </w:p>
    <w:p w:rsidR="0086422D" w:rsidRPr="006603C4" w:rsidRDefault="0086422D" w:rsidP="000212A1">
      <w:pPr>
        <w:keepNext/>
        <w:jc w:val="both"/>
        <w:rPr>
          <w:i/>
          <w:sz w:val="22"/>
          <w:szCs w:val="22"/>
        </w:rPr>
      </w:pPr>
      <w:r w:rsidRPr="006603C4">
        <w:rPr>
          <w:i/>
          <w:sz w:val="22"/>
          <w:szCs w:val="22"/>
        </w:rPr>
        <w:t>Výsledky zde uvedené musí být evidovány v</w:t>
      </w:r>
      <w:r w:rsidR="006603C4">
        <w:rPr>
          <w:i/>
          <w:sz w:val="22"/>
          <w:szCs w:val="22"/>
        </w:rPr>
        <w:t xml:space="preserve"> celouniverzitní verzi </w:t>
      </w:r>
      <w:r w:rsidRPr="006603C4">
        <w:rPr>
          <w:i/>
          <w:sz w:val="22"/>
          <w:szCs w:val="22"/>
        </w:rPr>
        <w:t>aplikac</w:t>
      </w:r>
      <w:r w:rsidR="006603C4">
        <w:rPr>
          <w:i/>
          <w:sz w:val="22"/>
          <w:szCs w:val="22"/>
        </w:rPr>
        <w:t>e</w:t>
      </w:r>
      <w:r w:rsidRPr="006603C4">
        <w:rPr>
          <w:i/>
          <w:sz w:val="22"/>
          <w:szCs w:val="22"/>
        </w:rPr>
        <w:t xml:space="preserve"> OBD (výjimkou jsou pouze výsledky teprve přijaté k</w:t>
      </w:r>
      <w:r w:rsidR="008E01BF" w:rsidRPr="006603C4">
        <w:rPr>
          <w:i/>
          <w:sz w:val="22"/>
          <w:szCs w:val="22"/>
        </w:rPr>
        <w:t> </w:t>
      </w:r>
      <w:r w:rsidRPr="006603C4">
        <w:rPr>
          <w:i/>
          <w:sz w:val="22"/>
          <w:szCs w:val="22"/>
        </w:rPr>
        <w:t>publikaci</w:t>
      </w:r>
      <w:r w:rsidR="008E01BF" w:rsidRPr="006603C4">
        <w:rPr>
          <w:i/>
          <w:sz w:val="22"/>
          <w:szCs w:val="22"/>
        </w:rPr>
        <w:t xml:space="preserve"> </w:t>
      </w:r>
      <w:r w:rsidR="006603C4">
        <w:rPr>
          <w:i/>
          <w:sz w:val="22"/>
          <w:szCs w:val="22"/>
        </w:rPr>
        <w:t>a výsledky fakult / VŠ ústavů, které nedisponují celouniverzitní verzí OBD).</w:t>
      </w:r>
    </w:p>
    <w:p w:rsidR="000212A1" w:rsidRDefault="000212A1" w:rsidP="000212A1">
      <w:pPr>
        <w:jc w:val="both"/>
      </w:pPr>
    </w:p>
    <w:p w:rsidR="009F454A" w:rsidRPr="0098621F" w:rsidRDefault="00CF31F4" w:rsidP="0098621F">
      <w:pPr>
        <w:pStyle w:val="Odstavecseseznamem"/>
        <w:numPr>
          <w:ilvl w:val="0"/>
          <w:numId w:val="28"/>
        </w:numPr>
        <w:ind w:left="360"/>
        <w:jc w:val="both"/>
      </w:pPr>
      <w:r w:rsidRPr="0098621F">
        <w:t>BOHÁČ, Radim, VYBÍRAL, Roman. „Taxation of income and wealth of individuals in the Czech Republic“. In Journal of International Tax, Trust and Corporate Planning. Jordan Publishing Ltd, 2015, č. 4, s. 243-250. ISSN 2049-789X</w:t>
      </w:r>
    </w:p>
    <w:p w:rsidR="009F454A" w:rsidRPr="0098621F" w:rsidRDefault="009F454A" w:rsidP="0098621F">
      <w:pPr>
        <w:pStyle w:val="Odstavecseseznamem"/>
        <w:spacing w:after="120"/>
        <w:ind w:left="0"/>
        <w:jc w:val="both"/>
      </w:pPr>
    </w:p>
    <w:p w:rsidR="00615E3C" w:rsidRPr="0098621F" w:rsidRDefault="00615E3C" w:rsidP="0098621F">
      <w:pPr>
        <w:pStyle w:val="Odstavecseseznamem"/>
        <w:numPr>
          <w:ilvl w:val="0"/>
          <w:numId w:val="28"/>
        </w:numPr>
        <w:spacing w:after="120"/>
        <w:ind w:left="360"/>
        <w:jc w:val="both"/>
        <w:rPr>
          <w:sz w:val="22"/>
          <w:szCs w:val="22"/>
        </w:rPr>
      </w:pPr>
      <w:r w:rsidRPr="0098621F">
        <w:rPr>
          <w:sz w:val="22"/>
          <w:szCs w:val="22"/>
        </w:rPr>
        <w:t xml:space="preserve">DAMOHORSKÝ, </w:t>
      </w:r>
      <w:r w:rsidR="00DF413F" w:rsidRPr="0098621F">
        <w:rPr>
          <w:sz w:val="22"/>
          <w:szCs w:val="22"/>
        </w:rPr>
        <w:t xml:space="preserve">M., </w:t>
      </w:r>
      <w:r w:rsidR="001C6D51" w:rsidRPr="0098621F">
        <w:rPr>
          <w:sz w:val="22"/>
          <w:szCs w:val="22"/>
        </w:rPr>
        <w:t>S</w:t>
      </w:r>
      <w:r w:rsidR="00DF413F" w:rsidRPr="0098621F">
        <w:rPr>
          <w:sz w:val="22"/>
          <w:szCs w:val="22"/>
        </w:rPr>
        <w:t>N</w:t>
      </w:r>
      <w:r w:rsidRPr="0098621F">
        <w:rPr>
          <w:sz w:val="22"/>
          <w:szCs w:val="22"/>
        </w:rPr>
        <w:t>OPKOVÁ, T</w:t>
      </w:r>
      <w:r w:rsidR="001C6D51" w:rsidRPr="0098621F">
        <w:rPr>
          <w:sz w:val="22"/>
          <w:szCs w:val="22"/>
        </w:rPr>
        <w:t>.</w:t>
      </w:r>
      <w:r w:rsidR="00E46650" w:rsidRPr="0098621F">
        <w:rPr>
          <w:sz w:val="22"/>
          <w:szCs w:val="22"/>
        </w:rPr>
        <w:t xml:space="preserve"> et al</w:t>
      </w:r>
      <w:r w:rsidR="001C6D51" w:rsidRPr="0098621F">
        <w:rPr>
          <w:sz w:val="22"/>
          <w:szCs w:val="22"/>
        </w:rPr>
        <w:t xml:space="preserve">:  </w:t>
      </w:r>
      <w:r w:rsidR="001C6D51" w:rsidRPr="0098621F">
        <w:rPr>
          <w:i/>
          <w:sz w:val="22"/>
          <w:szCs w:val="22"/>
        </w:rPr>
        <w:t>Ze</w:t>
      </w:r>
      <w:r w:rsidRPr="0098621F">
        <w:rPr>
          <w:i/>
          <w:sz w:val="22"/>
          <w:szCs w:val="22"/>
        </w:rPr>
        <w:t>mědělské právo</w:t>
      </w:r>
      <w:r w:rsidRPr="0098621F">
        <w:rPr>
          <w:sz w:val="22"/>
          <w:szCs w:val="22"/>
        </w:rPr>
        <w:t xml:space="preserve">. </w:t>
      </w:r>
      <w:r w:rsidR="00D40F3C" w:rsidRPr="0098621F">
        <w:rPr>
          <w:sz w:val="22"/>
          <w:szCs w:val="22"/>
        </w:rPr>
        <w:t xml:space="preserve">Plzeň: </w:t>
      </w:r>
      <w:r w:rsidRPr="0098621F">
        <w:rPr>
          <w:sz w:val="22"/>
          <w:szCs w:val="22"/>
        </w:rPr>
        <w:t xml:space="preserve">Vydavatelství Aleš </w:t>
      </w:r>
      <w:r w:rsidR="006D4F1A" w:rsidRPr="0098621F">
        <w:rPr>
          <w:sz w:val="22"/>
          <w:szCs w:val="22"/>
        </w:rPr>
        <w:t>Čeněk, 2015</w:t>
      </w:r>
      <w:r w:rsidR="002B4A0F" w:rsidRPr="0098621F">
        <w:rPr>
          <w:sz w:val="22"/>
          <w:szCs w:val="22"/>
        </w:rPr>
        <w:t xml:space="preserve">, </w:t>
      </w:r>
      <w:r w:rsidR="00DF413F" w:rsidRPr="0098621F">
        <w:rPr>
          <w:sz w:val="22"/>
          <w:szCs w:val="22"/>
        </w:rPr>
        <w:t xml:space="preserve">224 s. ISBN 978-80-7380-584-5 </w:t>
      </w:r>
    </w:p>
    <w:p w:rsidR="00615E3C" w:rsidRPr="0098621F" w:rsidRDefault="00615E3C" w:rsidP="0098621F">
      <w:pPr>
        <w:jc w:val="both"/>
        <w:rPr>
          <w:sz w:val="22"/>
          <w:szCs w:val="22"/>
        </w:rPr>
      </w:pPr>
    </w:p>
    <w:p w:rsidR="00F558ED" w:rsidRPr="0098621F" w:rsidRDefault="00F558ED" w:rsidP="0098621F">
      <w:pPr>
        <w:pStyle w:val="Odstavecseseznamem"/>
        <w:numPr>
          <w:ilvl w:val="0"/>
          <w:numId w:val="28"/>
        </w:numPr>
        <w:ind w:left="360"/>
        <w:jc w:val="both"/>
        <w:rPr>
          <w:sz w:val="22"/>
          <w:szCs w:val="22"/>
        </w:rPr>
      </w:pPr>
      <w:r w:rsidRPr="0098621F">
        <w:rPr>
          <w:sz w:val="22"/>
          <w:szCs w:val="22"/>
        </w:rPr>
        <w:t>HANDRLICA, J.: The Vienna Convention of Civil Liability for Nuclear Damage and Nuclear Installations: Application Problems Revisited</w:t>
      </w:r>
      <w:r w:rsidR="004924E8" w:rsidRPr="0098621F">
        <w:rPr>
          <w:sz w:val="22"/>
          <w:szCs w:val="22"/>
        </w:rPr>
        <w:t>.</w:t>
      </w:r>
      <w:r w:rsidR="00811509" w:rsidRPr="0098621F">
        <w:rPr>
          <w:sz w:val="22"/>
          <w:szCs w:val="22"/>
        </w:rPr>
        <w:t xml:space="preserve"> In</w:t>
      </w:r>
      <w:r w:rsidRPr="0098621F">
        <w:rPr>
          <w:sz w:val="22"/>
          <w:szCs w:val="22"/>
        </w:rPr>
        <w:t xml:space="preserve"> </w:t>
      </w:r>
      <w:r w:rsidRPr="0098621F">
        <w:rPr>
          <w:i/>
          <w:sz w:val="22"/>
          <w:szCs w:val="22"/>
        </w:rPr>
        <w:t>Czech Yearbook of Public and Private International Law,</w:t>
      </w:r>
      <w:r w:rsidRPr="0098621F">
        <w:rPr>
          <w:sz w:val="22"/>
          <w:szCs w:val="22"/>
        </w:rPr>
        <w:t xml:space="preserve"> </w:t>
      </w:r>
      <w:r w:rsidR="00811509" w:rsidRPr="0098621F">
        <w:rPr>
          <w:sz w:val="22"/>
          <w:szCs w:val="22"/>
        </w:rPr>
        <w:t xml:space="preserve">vol. </w:t>
      </w:r>
      <w:r w:rsidR="00CF1F96" w:rsidRPr="0098621F">
        <w:rPr>
          <w:sz w:val="22"/>
          <w:szCs w:val="22"/>
        </w:rPr>
        <w:t>6</w:t>
      </w:r>
      <w:r w:rsidR="005516FA" w:rsidRPr="0098621F">
        <w:rPr>
          <w:sz w:val="22"/>
          <w:szCs w:val="22"/>
        </w:rPr>
        <w:t>, s. 149–160</w:t>
      </w:r>
      <w:r w:rsidR="00CF1F96" w:rsidRPr="0098621F">
        <w:rPr>
          <w:sz w:val="22"/>
          <w:szCs w:val="22"/>
        </w:rPr>
        <w:t>.</w:t>
      </w:r>
      <w:r w:rsidR="00DF413F" w:rsidRPr="0098621F">
        <w:rPr>
          <w:sz w:val="22"/>
          <w:szCs w:val="22"/>
        </w:rPr>
        <w:t xml:space="preserve"> Praha: Česká společnost pro mezinárodní právo, 2015, 460 s. ISBN 978-80-87488-23-2 </w:t>
      </w:r>
      <w:r w:rsidR="00CF1F96" w:rsidRPr="0098621F">
        <w:rPr>
          <w:sz w:val="22"/>
          <w:szCs w:val="22"/>
        </w:rPr>
        <w:t xml:space="preserve"> </w:t>
      </w:r>
    </w:p>
    <w:p w:rsidR="00777259" w:rsidRPr="0098621F" w:rsidRDefault="00777259" w:rsidP="0098621F">
      <w:pPr>
        <w:jc w:val="both"/>
        <w:rPr>
          <w:sz w:val="22"/>
          <w:szCs w:val="22"/>
        </w:rPr>
      </w:pPr>
    </w:p>
    <w:p w:rsidR="00EF2694" w:rsidRPr="0098621F" w:rsidRDefault="00777259" w:rsidP="0098621F">
      <w:pPr>
        <w:pStyle w:val="Odstavecseseznamem"/>
        <w:numPr>
          <w:ilvl w:val="0"/>
          <w:numId w:val="28"/>
        </w:numPr>
        <w:ind w:left="360"/>
        <w:jc w:val="both"/>
        <w:rPr>
          <w:sz w:val="22"/>
          <w:szCs w:val="22"/>
        </w:rPr>
      </w:pPr>
      <w:r w:rsidRPr="0098621F">
        <w:rPr>
          <w:sz w:val="22"/>
          <w:szCs w:val="22"/>
        </w:rPr>
        <w:t xml:space="preserve">IVOR, J., JELÍNEK, J. et al.: </w:t>
      </w:r>
      <w:r w:rsidRPr="0098621F">
        <w:rPr>
          <w:i/>
          <w:sz w:val="22"/>
          <w:szCs w:val="22"/>
        </w:rPr>
        <w:t>Euro Crimes in the Legal Systems of the Czech Republic and of the Slovak Republic</w:t>
      </w:r>
      <w:r w:rsidRPr="0098621F">
        <w:rPr>
          <w:sz w:val="22"/>
          <w:szCs w:val="22"/>
        </w:rPr>
        <w:t xml:space="preserve">, </w:t>
      </w:r>
      <w:r w:rsidR="00CF1F96" w:rsidRPr="0098621F">
        <w:rPr>
          <w:sz w:val="22"/>
          <w:szCs w:val="22"/>
        </w:rPr>
        <w:t xml:space="preserve">Budapest: </w:t>
      </w:r>
      <w:r w:rsidRPr="0098621F">
        <w:rPr>
          <w:sz w:val="22"/>
          <w:szCs w:val="22"/>
        </w:rPr>
        <w:t>Wolters Kluwer, 2015, 260 s.</w:t>
      </w:r>
      <w:r w:rsidR="004924E8" w:rsidRPr="0098621F">
        <w:rPr>
          <w:sz w:val="22"/>
          <w:szCs w:val="22"/>
        </w:rPr>
        <w:t xml:space="preserve"> ISBN 978-963-295-537-7</w:t>
      </w:r>
    </w:p>
    <w:p w:rsidR="00EC2F59" w:rsidRPr="0098621F" w:rsidRDefault="00EC2F59" w:rsidP="0098621F">
      <w:pPr>
        <w:jc w:val="both"/>
        <w:rPr>
          <w:sz w:val="22"/>
          <w:szCs w:val="22"/>
        </w:rPr>
      </w:pPr>
    </w:p>
    <w:p w:rsidR="00EC2F59" w:rsidRPr="0098621F" w:rsidRDefault="00EC2F59" w:rsidP="0098621F">
      <w:pPr>
        <w:pStyle w:val="Odstavecseseznamem"/>
        <w:numPr>
          <w:ilvl w:val="0"/>
          <w:numId w:val="28"/>
        </w:numPr>
        <w:ind w:left="360"/>
        <w:jc w:val="both"/>
        <w:rPr>
          <w:sz w:val="22"/>
          <w:szCs w:val="22"/>
        </w:rPr>
      </w:pPr>
      <w:r w:rsidRPr="0098621F">
        <w:t xml:space="preserve">KARFÍKOVÁ, Marie a Radim BOHÁČ. Considerations about the System of Financial Law and Financial Science. In: MRKÝVKA, Petr (ed.) </w:t>
      </w:r>
      <w:r w:rsidRPr="00D47D5D">
        <w:rPr>
          <w:i/>
        </w:rPr>
        <w:t>System of Financial Law: General Part: Conference proceedings</w:t>
      </w:r>
      <w:r w:rsidRPr="0098621F">
        <w:t>. 1st ed. Brno: Masaryk University, Faculty of Law, 2015. 432 p. Publications of the Masaryk University, theoretical series, edition Scientia; file no. 514. ISBN 978-80-210-7826-0.</w:t>
      </w:r>
    </w:p>
    <w:p w:rsidR="00EF2694" w:rsidRPr="0098621F" w:rsidRDefault="00EF2694" w:rsidP="0098621F">
      <w:pPr>
        <w:pStyle w:val="Odstavecseseznamem"/>
        <w:ind w:left="-720"/>
        <w:rPr>
          <w:sz w:val="22"/>
          <w:szCs w:val="22"/>
        </w:rPr>
      </w:pPr>
    </w:p>
    <w:p w:rsidR="00E00E12" w:rsidRPr="0098621F" w:rsidRDefault="003677C4" w:rsidP="0098621F">
      <w:pPr>
        <w:pStyle w:val="FormtovanvHTML"/>
        <w:numPr>
          <w:ilvl w:val="0"/>
          <w:numId w:val="28"/>
        </w:numPr>
        <w:shd w:val="clear" w:color="auto" w:fill="FFFFFF"/>
        <w:ind w:left="360"/>
        <w:jc w:val="both"/>
        <w:rPr>
          <w:rFonts w:ascii="Times New Roman" w:hAnsi="Times New Roman" w:cs="Times New Roman"/>
          <w:color w:val="262B33"/>
          <w:sz w:val="22"/>
          <w:szCs w:val="22"/>
          <w:shd w:val="clear" w:color="auto" w:fill="FFFFE0"/>
        </w:rPr>
      </w:pPr>
      <w:r w:rsidRPr="0098621F">
        <w:rPr>
          <w:rFonts w:ascii="Times New Roman" w:hAnsi="Times New Roman" w:cs="Times New Roman"/>
          <w:sz w:val="22"/>
          <w:szCs w:val="22"/>
        </w:rPr>
        <w:t>KOLDINSKÁ, K</w:t>
      </w:r>
      <w:r w:rsidR="001C6D51" w:rsidRPr="0098621F">
        <w:rPr>
          <w:rFonts w:ascii="Times New Roman" w:hAnsi="Times New Roman" w:cs="Times New Roman"/>
          <w:sz w:val="22"/>
          <w:szCs w:val="22"/>
        </w:rPr>
        <w:t xml:space="preserve">.: </w:t>
      </w:r>
      <w:r w:rsidR="00E00E12" w:rsidRPr="00D46175">
        <w:rPr>
          <w:rFonts w:ascii="Times New Roman" w:hAnsi="Times New Roman" w:cs="Times New Roman"/>
          <w:color w:val="262B33"/>
          <w:sz w:val="22"/>
          <w:szCs w:val="22"/>
        </w:rPr>
        <w:t>Right to education – a case of Roma children in Central Europe</w:t>
      </w:r>
      <w:r w:rsidR="005516FA" w:rsidRPr="00D46175">
        <w:rPr>
          <w:rFonts w:ascii="Times New Roman" w:hAnsi="Times New Roman" w:cs="Times New Roman"/>
          <w:color w:val="262B33"/>
          <w:sz w:val="22"/>
          <w:szCs w:val="22"/>
        </w:rPr>
        <w:t>.</w:t>
      </w:r>
      <w:r w:rsidR="001C6D51" w:rsidRPr="00D46175">
        <w:rPr>
          <w:rFonts w:ascii="Times New Roman" w:hAnsi="Times New Roman" w:cs="Times New Roman"/>
          <w:color w:val="262B33"/>
          <w:sz w:val="22"/>
          <w:szCs w:val="22"/>
        </w:rPr>
        <w:t xml:space="preserve"> In</w:t>
      </w:r>
      <w:r w:rsidR="00E00E12" w:rsidRPr="00D46175">
        <w:rPr>
          <w:rFonts w:ascii="Times New Roman" w:hAnsi="Times New Roman" w:cs="Times New Roman"/>
          <w:color w:val="262B33"/>
          <w:sz w:val="22"/>
          <w:szCs w:val="22"/>
        </w:rPr>
        <w:t xml:space="preserve"> </w:t>
      </w:r>
      <w:r w:rsidR="003E561A" w:rsidRPr="00D46175">
        <w:rPr>
          <w:rFonts w:ascii="Times New Roman" w:hAnsi="Times New Roman" w:cs="Times New Roman"/>
          <w:color w:val="262B33"/>
          <w:sz w:val="22"/>
          <w:szCs w:val="22"/>
        </w:rPr>
        <w:t xml:space="preserve">   </w:t>
      </w:r>
      <w:r w:rsidR="002B4A0F" w:rsidRPr="00D46175">
        <w:rPr>
          <w:rFonts w:ascii="Times New Roman" w:hAnsi="Times New Roman" w:cs="Times New Roman"/>
          <w:color w:val="262B33"/>
          <w:sz w:val="22"/>
          <w:szCs w:val="22"/>
        </w:rPr>
        <w:t>DEVETZI,</w:t>
      </w:r>
      <w:r w:rsidR="00E00E12" w:rsidRPr="00D46175">
        <w:rPr>
          <w:rFonts w:ascii="Times New Roman" w:hAnsi="Times New Roman" w:cs="Times New Roman"/>
          <w:color w:val="262B33"/>
          <w:sz w:val="22"/>
          <w:szCs w:val="22"/>
        </w:rPr>
        <w:t xml:space="preserve"> S., </w:t>
      </w:r>
      <w:r w:rsidR="002B4A0F" w:rsidRPr="00D46175">
        <w:rPr>
          <w:rFonts w:ascii="Times New Roman" w:hAnsi="Times New Roman" w:cs="Times New Roman"/>
          <w:color w:val="262B33"/>
          <w:sz w:val="22"/>
          <w:szCs w:val="22"/>
        </w:rPr>
        <w:t>JANDA</w:t>
      </w:r>
      <w:r w:rsidR="00E00E12" w:rsidRPr="00D46175">
        <w:rPr>
          <w:rFonts w:ascii="Times New Roman" w:hAnsi="Times New Roman" w:cs="Times New Roman"/>
          <w:color w:val="262B33"/>
          <w:sz w:val="22"/>
          <w:szCs w:val="22"/>
        </w:rPr>
        <w:t xml:space="preserve">, C. (Hrsg.): </w:t>
      </w:r>
      <w:r w:rsidR="004924E8" w:rsidRPr="00D46175">
        <w:rPr>
          <w:rFonts w:ascii="Times New Roman" w:hAnsi="Times New Roman" w:cs="Times New Roman"/>
          <w:i/>
          <w:color w:val="262B33"/>
          <w:sz w:val="22"/>
          <w:szCs w:val="22"/>
        </w:rPr>
        <w:t>F</w:t>
      </w:r>
      <w:r w:rsidR="00E00E12" w:rsidRPr="00D46175">
        <w:rPr>
          <w:rFonts w:ascii="Times New Roman" w:hAnsi="Times New Roman" w:cs="Times New Roman"/>
          <w:i/>
          <w:color w:val="262B33"/>
          <w:sz w:val="22"/>
          <w:szCs w:val="22"/>
        </w:rPr>
        <w:t>reiheit, – Gerechtigkeit – Sozial(es) Recht</w:t>
      </w:r>
      <w:r w:rsidR="005516FA" w:rsidRPr="00D46175">
        <w:rPr>
          <w:rFonts w:ascii="Times New Roman" w:hAnsi="Times New Roman" w:cs="Times New Roman"/>
          <w:i/>
          <w:color w:val="262B33"/>
          <w:sz w:val="22"/>
          <w:szCs w:val="22"/>
        </w:rPr>
        <w:t xml:space="preserve">, </w:t>
      </w:r>
      <w:r w:rsidR="005516FA" w:rsidRPr="00D46175">
        <w:rPr>
          <w:rFonts w:ascii="Times New Roman" w:hAnsi="Times New Roman" w:cs="Times New Roman"/>
          <w:color w:val="262B33"/>
          <w:sz w:val="22"/>
          <w:szCs w:val="22"/>
        </w:rPr>
        <w:t>s</w:t>
      </w:r>
      <w:r w:rsidR="005516FA" w:rsidRPr="00D46175">
        <w:rPr>
          <w:rFonts w:ascii="Times New Roman" w:hAnsi="Times New Roman" w:cs="Times New Roman"/>
          <w:i/>
          <w:color w:val="262B33"/>
          <w:sz w:val="22"/>
          <w:szCs w:val="22"/>
        </w:rPr>
        <w:t xml:space="preserve">. </w:t>
      </w:r>
      <w:r w:rsidR="005516FA" w:rsidRPr="00D46175">
        <w:rPr>
          <w:rFonts w:ascii="Times New Roman" w:hAnsi="Times New Roman" w:cs="Times New Roman"/>
          <w:color w:val="262B33"/>
          <w:sz w:val="22"/>
          <w:szCs w:val="22"/>
        </w:rPr>
        <w:t>333–358</w:t>
      </w:r>
      <w:r w:rsidR="004924E8" w:rsidRPr="00D46175">
        <w:rPr>
          <w:rFonts w:ascii="Times New Roman" w:hAnsi="Times New Roman" w:cs="Times New Roman"/>
          <w:i/>
          <w:color w:val="262B33"/>
          <w:sz w:val="22"/>
          <w:szCs w:val="22"/>
        </w:rPr>
        <w:t>.</w:t>
      </w:r>
      <w:r w:rsidR="00E00E12" w:rsidRPr="00D46175">
        <w:rPr>
          <w:rFonts w:ascii="Times New Roman" w:hAnsi="Times New Roman" w:cs="Times New Roman"/>
          <w:color w:val="262B33"/>
          <w:sz w:val="22"/>
          <w:szCs w:val="22"/>
        </w:rPr>
        <w:t xml:space="preserve"> </w:t>
      </w:r>
      <w:r w:rsidR="00D40F3C" w:rsidRPr="00D46175">
        <w:rPr>
          <w:rFonts w:ascii="Times New Roman" w:hAnsi="Times New Roman" w:cs="Times New Roman"/>
          <w:color w:val="262B33"/>
          <w:sz w:val="22"/>
          <w:szCs w:val="22"/>
        </w:rPr>
        <w:t xml:space="preserve">Baden-Baden: </w:t>
      </w:r>
      <w:r w:rsidR="00E00E12" w:rsidRPr="00D46175">
        <w:rPr>
          <w:rFonts w:ascii="Times New Roman" w:hAnsi="Times New Roman" w:cs="Times New Roman"/>
          <w:color w:val="262B33"/>
          <w:sz w:val="22"/>
          <w:szCs w:val="22"/>
        </w:rPr>
        <w:t xml:space="preserve">Nomos Verlag, 2015, </w:t>
      </w:r>
      <w:r w:rsidR="004924E8" w:rsidRPr="00D46175">
        <w:rPr>
          <w:rFonts w:ascii="Times New Roman" w:hAnsi="Times New Roman" w:cs="Times New Roman"/>
          <w:color w:val="262B33"/>
          <w:sz w:val="22"/>
          <w:szCs w:val="22"/>
        </w:rPr>
        <w:t>716 s. ISBN 978-3-8487-1842-9</w:t>
      </w:r>
    </w:p>
    <w:p w:rsidR="00547FED" w:rsidRPr="0098621F" w:rsidRDefault="00547FED" w:rsidP="0098621F">
      <w:pPr>
        <w:pStyle w:val="FormtovanvHTML"/>
        <w:shd w:val="clear" w:color="auto" w:fill="FFFFFF"/>
        <w:jc w:val="both"/>
        <w:rPr>
          <w:rFonts w:ascii="Times New Roman" w:hAnsi="Times New Roman" w:cs="Times New Roman"/>
          <w:color w:val="262B33"/>
          <w:sz w:val="22"/>
          <w:szCs w:val="22"/>
          <w:shd w:val="clear" w:color="auto" w:fill="FFFFE0"/>
        </w:rPr>
      </w:pPr>
    </w:p>
    <w:p w:rsidR="009970E4" w:rsidRPr="0098621F" w:rsidRDefault="00933297" w:rsidP="0098621F">
      <w:pPr>
        <w:pStyle w:val="Odstavecseseznamem"/>
        <w:numPr>
          <w:ilvl w:val="0"/>
          <w:numId w:val="28"/>
        </w:numPr>
        <w:ind w:left="360"/>
        <w:jc w:val="both"/>
        <w:rPr>
          <w:sz w:val="22"/>
          <w:szCs w:val="22"/>
          <w:lang w:val="en-US"/>
        </w:rPr>
      </w:pPr>
      <w:r w:rsidRPr="0098621F">
        <w:rPr>
          <w:sz w:val="22"/>
          <w:szCs w:val="22"/>
        </w:rPr>
        <w:t>MOON</w:t>
      </w:r>
      <w:r w:rsidR="009970E4" w:rsidRPr="0098621F">
        <w:rPr>
          <w:sz w:val="22"/>
          <w:szCs w:val="22"/>
        </w:rPr>
        <w:t xml:space="preserve">, </w:t>
      </w:r>
      <w:r w:rsidRPr="0098621F">
        <w:rPr>
          <w:sz w:val="22"/>
          <w:szCs w:val="22"/>
          <w:lang w:eastAsia="ko-KR"/>
        </w:rPr>
        <w:t>J</w:t>
      </w:r>
      <w:r w:rsidR="002B4A0F" w:rsidRPr="0098621F">
        <w:rPr>
          <w:sz w:val="22"/>
          <w:szCs w:val="22"/>
          <w:lang w:eastAsia="ko-KR"/>
        </w:rPr>
        <w:t xml:space="preserve">., </w:t>
      </w:r>
      <w:r w:rsidRPr="0098621F">
        <w:rPr>
          <w:sz w:val="22"/>
          <w:szCs w:val="22"/>
        </w:rPr>
        <w:t>TOMÁŠEK</w:t>
      </w:r>
      <w:r w:rsidR="002B4A0F" w:rsidRPr="0098621F">
        <w:rPr>
          <w:sz w:val="22"/>
          <w:szCs w:val="22"/>
        </w:rPr>
        <w:t>,</w:t>
      </w:r>
      <w:r w:rsidRPr="0098621F">
        <w:rPr>
          <w:sz w:val="22"/>
          <w:szCs w:val="22"/>
        </w:rPr>
        <w:t xml:space="preserve"> M</w:t>
      </w:r>
      <w:r w:rsidR="002B4A0F" w:rsidRPr="0098621F">
        <w:rPr>
          <w:sz w:val="22"/>
          <w:szCs w:val="22"/>
        </w:rPr>
        <w:t>.</w:t>
      </w:r>
      <w:r w:rsidR="009970E4" w:rsidRPr="0098621F">
        <w:rPr>
          <w:sz w:val="22"/>
          <w:szCs w:val="22"/>
        </w:rPr>
        <w:t xml:space="preserve"> et alii: </w:t>
      </w:r>
      <w:r w:rsidR="009970E4" w:rsidRPr="0098621F">
        <w:rPr>
          <w:i/>
          <w:sz w:val="22"/>
          <w:szCs w:val="22"/>
        </w:rPr>
        <w:t>Law crossing Eurasia: From Korea to the Czech Republic</w:t>
      </w:r>
      <w:r w:rsidR="002B4A0F" w:rsidRPr="0098621F">
        <w:rPr>
          <w:i/>
          <w:sz w:val="22"/>
          <w:szCs w:val="22"/>
        </w:rPr>
        <w:t>.</w:t>
      </w:r>
      <w:r w:rsidR="00CF1F96" w:rsidRPr="0098621F">
        <w:rPr>
          <w:sz w:val="22"/>
          <w:szCs w:val="22"/>
        </w:rPr>
        <w:t xml:space="preserve"> Berlin/Passau:</w:t>
      </w:r>
      <w:r w:rsidR="002B4A0F" w:rsidRPr="0098621F">
        <w:rPr>
          <w:i/>
          <w:sz w:val="22"/>
          <w:szCs w:val="22"/>
        </w:rPr>
        <w:t xml:space="preserve"> </w:t>
      </w:r>
      <w:r w:rsidR="002B4A0F" w:rsidRPr="0098621F">
        <w:rPr>
          <w:sz w:val="22"/>
          <w:szCs w:val="22"/>
        </w:rPr>
        <w:t>R</w:t>
      </w:r>
      <w:r w:rsidR="009970E4" w:rsidRPr="0098621F">
        <w:rPr>
          <w:sz w:val="22"/>
          <w:szCs w:val="22"/>
        </w:rPr>
        <w:t xml:space="preserve">W&amp;W </w:t>
      </w:r>
      <w:r w:rsidR="009970E4" w:rsidRPr="0098621F">
        <w:rPr>
          <w:sz w:val="22"/>
          <w:szCs w:val="22"/>
          <w:lang w:val="en-US"/>
        </w:rPr>
        <w:t>Science &amp; New Media, 2015, 290 s.</w:t>
      </w:r>
      <w:r w:rsidR="001633BB" w:rsidRPr="0098621F">
        <w:rPr>
          <w:sz w:val="22"/>
          <w:szCs w:val="22"/>
          <w:lang w:val="en-US"/>
        </w:rPr>
        <w:t xml:space="preserve"> ISBN 978-3-9816855-2-7</w:t>
      </w:r>
    </w:p>
    <w:p w:rsidR="00DD3578" w:rsidRPr="0098621F" w:rsidRDefault="00DD3578" w:rsidP="0098621F">
      <w:pPr>
        <w:pStyle w:val="Odstavecseseznamem"/>
        <w:ind w:left="-720"/>
        <w:rPr>
          <w:sz w:val="22"/>
          <w:szCs w:val="22"/>
          <w:lang w:val="en-US"/>
        </w:rPr>
      </w:pPr>
    </w:p>
    <w:p w:rsidR="00E86331" w:rsidRPr="0098621F" w:rsidRDefault="00E86331" w:rsidP="0098621F">
      <w:pPr>
        <w:pStyle w:val="Odstavecseseznamem"/>
        <w:numPr>
          <w:ilvl w:val="0"/>
          <w:numId w:val="28"/>
        </w:numPr>
        <w:ind w:left="360"/>
        <w:jc w:val="both"/>
        <w:rPr>
          <w:sz w:val="22"/>
          <w:szCs w:val="22"/>
        </w:rPr>
      </w:pPr>
      <w:r w:rsidRPr="0098621F">
        <w:rPr>
          <w:color w:val="262B33"/>
          <w:sz w:val="22"/>
          <w:szCs w:val="22"/>
          <w:shd w:val="clear" w:color="auto" w:fill="FFFFFF"/>
        </w:rPr>
        <w:t xml:space="preserve">PAVLÍČEK, V., ŠOUŠA, J.: </w:t>
      </w:r>
      <w:r w:rsidR="00C437F5">
        <w:rPr>
          <w:color w:val="262B33"/>
          <w:sz w:val="22"/>
          <w:szCs w:val="22"/>
          <w:shd w:val="clear" w:color="auto" w:fill="FFFFFF"/>
        </w:rPr>
        <w:t xml:space="preserve">Legal Ragulation of Expropriation </w:t>
      </w:r>
      <w:r w:rsidRPr="0098621F">
        <w:rPr>
          <w:color w:val="262B33"/>
          <w:sz w:val="22"/>
          <w:szCs w:val="22"/>
          <w:shd w:val="clear" w:color="auto" w:fill="FFFFFF"/>
        </w:rPr>
        <w:t>in the Czech Republic, s. 93–128. In SLUYSMANS, J., VERBIST, S., WARING, E.: </w:t>
      </w:r>
      <w:r w:rsidRPr="0098621F">
        <w:rPr>
          <w:rStyle w:val="Zvraznn"/>
          <w:color w:val="262B33"/>
          <w:sz w:val="22"/>
          <w:szCs w:val="22"/>
          <w:shd w:val="clear" w:color="auto" w:fill="FFFFFF"/>
        </w:rPr>
        <w:t>Expropriation Law in Europe.</w:t>
      </w:r>
      <w:r w:rsidRPr="0098621F">
        <w:rPr>
          <w:rStyle w:val="apple-converted-space"/>
          <w:i/>
          <w:iCs/>
          <w:color w:val="262B33"/>
          <w:sz w:val="22"/>
          <w:szCs w:val="22"/>
          <w:shd w:val="clear" w:color="auto" w:fill="FFFFFF"/>
        </w:rPr>
        <w:t> </w:t>
      </w:r>
      <w:r w:rsidRPr="0098621F">
        <w:rPr>
          <w:color w:val="262B33"/>
          <w:sz w:val="22"/>
          <w:szCs w:val="22"/>
          <w:shd w:val="clear" w:color="auto" w:fill="FFFFFF"/>
        </w:rPr>
        <w:t>Deventer: Wolters Kluwer, 2015. 592 s. ISBN 978-90-13-13179-6 </w:t>
      </w:r>
    </w:p>
    <w:p w:rsidR="00E86331" w:rsidRPr="0098621F" w:rsidRDefault="00E86331" w:rsidP="0098621F">
      <w:pPr>
        <w:pStyle w:val="Odstavecseseznamem"/>
        <w:ind w:left="360"/>
        <w:rPr>
          <w:sz w:val="22"/>
          <w:szCs w:val="22"/>
          <w:lang w:val="en-US"/>
        </w:rPr>
      </w:pPr>
    </w:p>
    <w:p w:rsidR="00A67A41" w:rsidRPr="0098621F" w:rsidRDefault="00A67A41" w:rsidP="0098621F">
      <w:pPr>
        <w:pStyle w:val="Odstavecseseznamem"/>
        <w:numPr>
          <w:ilvl w:val="0"/>
          <w:numId w:val="28"/>
        </w:numPr>
        <w:ind w:left="360"/>
        <w:jc w:val="both"/>
        <w:rPr>
          <w:sz w:val="22"/>
          <w:szCs w:val="22"/>
        </w:rPr>
      </w:pPr>
      <w:r w:rsidRPr="0098621F">
        <w:rPr>
          <w:sz w:val="22"/>
          <w:szCs w:val="22"/>
          <w:lang w:val="en-US"/>
        </w:rPr>
        <w:t>PÍTROVÁ, L</w:t>
      </w:r>
      <w:r w:rsidR="002F7E87" w:rsidRPr="0098621F">
        <w:rPr>
          <w:sz w:val="22"/>
          <w:szCs w:val="22"/>
          <w:lang w:val="en-US"/>
        </w:rPr>
        <w:t xml:space="preserve">. </w:t>
      </w:r>
      <w:r w:rsidRPr="0098621F">
        <w:rPr>
          <w:sz w:val="22"/>
          <w:szCs w:val="22"/>
          <w:lang w:val="en-US"/>
        </w:rPr>
        <w:t xml:space="preserve">et al: </w:t>
      </w:r>
      <w:r w:rsidRPr="0098621F">
        <w:rPr>
          <w:i/>
          <w:sz w:val="22"/>
          <w:szCs w:val="22"/>
        </w:rPr>
        <w:t xml:space="preserve">Rule of Law and Mechanisms of its Protection – Czech Perspective. </w:t>
      </w:r>
      <w:r w:rsidR="00CF1F96" w:rsidRPr="0098621F">
        <w:rPr>
          <w:sz w:val="22"/>
          <w:szCs w:val="22"/>
        </w:rPr>
        <w:t xml:space="preserve">Berlin/Passau: </w:t>
      </w:r>
      <w:r w:rsidR="002F7E87" w:rsidRPr="0098621F">
        <w:rPr>
          <w:sz w:val="22"/>
          <w:szCs w:val="22"/>
        </w:rPr>
        <w:t>R</w:t>
      </w:r>
      <w:r w:rsidRPr="0098621F">
        <w:rPr>
          <w:sz w:val="22"/>
          <w:szCs w:val="22"/>
        </w:rPr>
        <w:t>W&amp;W Science &amp; New Media, 2015, 379 s.</w:t>
      </w:r>
      <w:r w:rsidR="001633BB" w:rsidRPr="0098621F">
        <w:rPr>
          <w:sz w:val="22"/>
          <w:szCs w:val="22"/>
        </w:rPr>
        <w:t xml:space="preserve"> ISBN 978-3-9816855-4-1</w:t>
      </w:r>
    </w:p>
    <w:p w:rsidR="00B44F0F" w:rsidRPr="0098621F" w:rsidRDefault="00B44F0F" w:rsidP="0098621F">
      <w:pPr>
        <w:jc w:val="both"/>
        <w:rPr>
          <w:sz w:val="22"/>
          <w:szCs w:val="22"/>
        </w:rPr>
      </w:pPr>
    </w:p>
    <w:p w:rsidR="00B44F0F" w:rsidRPr="0098621F" w:rsidRDefault="00B44F0F" w:rsidP="0098621F">
      <w:pPr>
        <w:pStyle w:val="Odstavecseseznamem"/>
        <w:numPr>
          <w:ilvl w:val="0"/>
          <w:numId w:val="28"/>
        </w:numPr>
        <w:spacing w:line="276" w:lineRule="auto"/>
        <w:ind w:left="360"/>
        <w:jc w:val="both"/>
        <w:rPr>
          <w:sz w:val="22"/>
          <w:szCs w:val="22"/>
        </w:rPr>
      </w:pPr>
      <w:r w:rsidRPr="0098621F">
        <w:rPr>
          <w:color w:val="262B33"/>
          <w:sz w:val="22"/>
          <w:szCs w:val="22"/>
          <w:shd w:val="clear" w:color="auto" w:fill="FFFFFF"/>
        </w:rPr>
        <w:t>SCHEU, H</w:t>
      </w:r>
      <w:r w:rsidR="002F7E87" w:rsidRPr="0098621F">
        <w:rPr>
          <w:color w:val="262B33"/>
          <w:sz w:val="22"/>
          <w:szCs w:val="22"/>
          <w:shd w:val="clear" w:color="auto" w:fill="FFFFFF"/>
        </w:rPr>
        <w:t xml:space="preserve">. </w:t>
      </w:r>
      <w:r w:rsidRPr="0098621F">
        <w:rPr>
          <w:color w:val="262B33"/>
          <w:sz w:val="22"/>
          <w:szCs w:val="22"/>
          <w:shd w:val="clear" w:color="auto" w:fill="FFFFFF"/>
        </w:rPr>
        <w:t>Ch</w:t>
      </w:r>
      <w:r w:rsidR="002F7E87" w:rsidRPr="0098621F">
        <w:rPr>
          <w:color w:val="262B33"/>
          <w:sz w:val="22"/>
          <w:szCs w:val="22"/>
          <w:shd w:val="clear" w:color="auto" w:fill="FFFFFF"/>
        </w:rPr>
        <w:t>.:</w:t>
      </w:r>
      <w:r w:rsidRPr="0098621F">
        <w:rPr>
          <w:color w:val="262B33"/>
          <w:sz w:val="22"/>
          <w:szCs w:val="22"/>
          <w:shd w:val="clear" w:color="auto" w:fill="FFFFFF"/>
        </w:rPr>
        <w:t xml:space="preserve"> Die Bedeutung des kin-state aus der Perspektive des internationalen Menschenrechts- und Minderheitenschutzes</w:t>
      </w:r>
      <w:r w:rsidR="00485EA4" w:rsidRPr="0098621F">
        <w:rPr>
          <w:color w:val="262B33"/>
          <w:sz w:val="22"/>
          <w:szCs w:val="22"/>
          <w:shd w:val="clear" w:color="auto" w:fill="FFFFFF"/>
        </w:rPr>
        <w:t>,</w:t>
      </w:r>
      <w:r w:rsidRPr="0098621F">
        <w:rPr>
          <w:color w:val="262B33"/>
          <w:sz w:val="22"/>
          <w:szCs w:val="22"/>
          <w:shd w:val="clear" w:color="auto" w:fill="FFFFFF"/>
        </w:rPr>
        <w:t xml:space="preserve"> In </w:t>
      </w:r>
      <w:r w:rsidR="002F7E87" w:rsidRPr="0098621F">
        <w:rPr>
          <w:color w:val="262B33"/>
          <w:sz w:val="22"/>
          <w:szCs w:val="22"/>
          <w:shd w:val="clear" w:color="auto" w:fill="FFFFFF"/>
        </w:rPr>
        <w:t xml:space="preserve">HAFNER, G., NEISSER, H., PANDEL, M., RAUTZ, G. </w:t>
      </w:r>
      <w:r w:rsidRPr="0098621F">
        <w:rPr>
          <w:color w:val="262B33"/>
          <w:sz w:val="22"/>
          <w:szCs w:val="22"/>
          <w:shd w:val="clear" w:color="auto" w:fill="FFFFFF"/>
        </w:rPr>
        <w:t>(eds.)</w:t>
      </w:r>
      <w:r w:rsidR="002F7E87" w:rsidRPr="0098621F">
        <w:rPr>
          <w:color w:val="262B33"/>
          <w:sz w:val="22"/>
          <w:szCs w:val="22"/>
          <w:shd w:val="clear" w:color="auto" w:fill="FFFFFF"/>
        </w:rPr>
        <w:t>:</w:t>
      </w:r>
      <w:r w:rsidRPr="0098621F">
        <w:rPr>
          <w:color w:val="262B33"/>
          <w:sz w:val="22"/>
          <w:szCs w:val="22"/>
          <w:shd w:val="clear" w:color="auto" w:fill="FFFFFF"/>
        </w:rPr>
        <w:t xml:space="preserve"> </w:t>
      </w:r>
      <w:r w:rsidRPr="0098621F">
        <w:rPr>
          <w:i/>
          <w:color w:val="262B33"/>
          <w:sz w:val="22"/>
          <w:szCs w:val="22"/>
          <w:shd w:val="clear" w:color="auto" w:fill="FFFFFF"/>
        </w:rPr>
        <w:t>Minderheiten und Mutterstaaten: Schutz oder Intervention?</w:t>
      </w:r>
      <w:r w:rsidRPr="0098621F">
        <w:rPr>
          <w:color w:val="262B33"/>
          <w:sz w:val="22"/>
          <w:szCs w:val="22"/>
          <w:shd w:val="clear" w:color="auto" w:fill="FFFFFF"/>
        </w:rPr>
        <w:t xml:space="preserve"> </w:t>
      </w:r>
      <w:r w:rsidR="005516FA" w:rsidRPr="0098621F">
        <w:rPr>
          <w:color w:val="262B33"/>
          <w:sz w:val="22"/>
          <w:szCs w:val="22"/>
          <w:shd w:val="clear" w:color="auto" w:fill="FFFFFF"/>
        </w:rPr>
        <w:t xml:space="preserve">s. 53–75. </w:t>
      </w:r>
      <w:r w:rsidRPr="0098621F">
        <w:rPr>
          <w:color w:val="262B33"/>
          <w:sz w:val="22"/>
          <w:szCs w:val="22"/>
          <w:shd w:val="clear" w:color="auto" w:fill="FFFFFF"/>
        </w:rPr>
        <w:t xml:space="preserve">Klagenfurt: Mohorjeva Hermagoras, 2015, </w:t>
      </w:r>
      <w:r w:rsidR="00485EA4" w:rsidRPr="0098621F">
        <w:rPr>
          <w:color w:val="262B33"/>
          <w:sz w:val="22"/>
          <w:szCs w:val="22"/>
          <w:shd w:val="clear" w:color="auto" w:fill="FFFFFF"/>
        </w:rPr>
        <w:t xml:space="preserve">352 </w:t>
      </w:r>
      <w:r w:rsidR="002F7E87" w:rsidRPr="0098621F">
        <w:rPr>
          <w:color w:val="262B33"/>
          <w:sz w:val="22"/>
          <w:szCs w:val="22"/>
          <w:shd w:val="clear" w:color="auto" w:fill="FFFFFF"/>
        </w:rPr>
        <w:t xml:space="preserve">s. </w:t>
      </w:r>
      <w:r w:rsidR="0041491A" w:rsidRPr="0098621F">
        <w:rPr>
          <w:color w:val="262B33"/>
          <w:sz w:val="22"/>
          <w:szCs w:val="22"/>
          <w:shd w:val="clear" w:color="auto" w:fill="FFFFFF"/>
        </w:rPr>
        <w:t>ISBN 978-3-7086-0879-2</w:t>
      </w:r>
    </w:p>
    <w:p w:rsidR="00A67A41" w:rsidRPr="00335D54" w:rsidRDefault="00A67A41" w:rsidP="009970E4">
      <w:pPr>
        <w:spacing w:line="276" w:lineRule="auto"/>
        <w:jc w:val="both"/>
        <w:rPr>
          <w:sz w:val="22"/>
          <w:szCs w:val="22"/>
        </w:rPr>
      </w:pPr>
    </w:p>
    <w:p w:rsidR="009970E4" w:rsidRPr="00777259" w:rsidRDefault="009970E4" w:rsidP="00E056B9">
      <w:pPr>
        <w:rPr>
          <w:color w:val="262B33"/>
          <w:highlight w:val="yellow"/>
          <w:shd w:val="clear" w:color="auto" w:fill="FFFFFF"/>
        </w:rPr>
      </w:pPr>
    </w:p>
    <w:p w:rsidR="009970E4" w:rsidRDefault="009970E4" w:rsidP="00E056B9">
      <w:pPr>
        <w:rPr>
          <w:color w:val="262B33"/>
          <w:highlight w:val="yellow"/>
          <w:shd w:val="clear" w:color="auto" w:fill="FFFFFF"/>
        </w:rPr>
      </w:pPr>
    </w:p>
    <w:p w:rsidR="00E056B9" w:rsidRPr="00E056B9" w:rsidRDefault="00E056B9" w:rsidP="00E056B9">
      <w:pPr>
        <w:rPr>
          <w:highlight w:val="yellow"/>
        </w:rPr>
      </w:pPr>
    </w:p>
    <w:p w:rsidR="00E056B9" w:rsidRDefault="00E056B9" w:rsidP="000212A1">
      <w:pPr>
        <w:jc w:val="both"/>
      </w:pPr>
    </w:p>
    <w:p w:rsidR="006F0CBC" w:rsidRDefault="006F0CBC" w:rsidP="000212A1">
      <w:pPr>
        <w:jc w:val="both"/>
      </w:pPr>
    </w:p>
    <w:p w:rsidR="005D0732" w:rsidRPr="00C64A84" w:rsidRDefault="00D50967" w:rsidP="006603C4">
      <w:pPr>
        <w:keepNext/>
        <w:jc w:val="both"/>
      </w:pPr>
      <w:r>
        <w:rPr>
          <w:b/>
        </w:rPr>
        <w:t>Počty</w:t>
      </w:r>
      <w:r w:rsidR="006F0CBC">
        <w:rPr>
          <w:b/>
        </w:rPr>
        <w:t xml:space="preserve"> výsledků dosažených v r. 2015</w:t>
      </w:r>
      <w:r w:rsidR="00C64A84">
        <w:t xml:space="preserve"> (publikovaných nebo přijatých k publikaci)</w:t>
      </w:r>
    </w:p>
    <w:p w:rsidR="006F0CBC" w:rsidRPr="006603C4" w:rsidRDefault="00C64A84" w:rsidP="006603C4">
      <w:pPr>
        <w:keepNext/>
        <w:jc w:val="both"/>
        <w:rPr>
          <w:i/>
          <w:sz w:val="22"/>
          <w:szCs w:val="22"/>
        </w:rPr>
      </w:pPr>
      <w:r w:rsidRPr="006603C4">
        <w:rPr>
          <w:i/>
          <w:sz w:val="22"/>
          <w:szCs w:val="22"/>
        </w:rPr>
        <w:t xml:space="preserve">V každém řádku </w:t>
      </w:r>
      <w:r w:rsidR="00D50967" w:rsidRPr="006603C4">
        <w:rPr>
          <w:i/>
          <w:sz w:val="22"/>
          <w:szCs w:val="22"/>
        </w:rPr>
        <w:t xml:space="preserve">tabulky </w:t>
      </w:r>
      <w:r w:rsidRPr="006603C4">
        <w:rPr>
          <w:i/>
          <w:sz w:val="22"/>
          <w:szCs w:val="22"/>
        </w:rPr>
        <w:t xml:space="preserve">uveďte počty </w:t>
      </w:r>
      <w:r w:rsidR="00AF10B5">
        <w:rPr>
          <w:i/>
          <w:sz w:val="22"/>
          <w:szCs w:val="22"/>
        </w:rPr>
        <w:t>českých</w:t>
      </w:r>
      <w:r w:rsidRPr="006603C4">
        <w:rPr>
          <w:i/>
          <w:sz w:val="22"/>
          <w:szCs w:val="22"/>
        </w:rPr>
        <w:t xml:space="preserve"> a </w:t>
      </w:r>
      <w:r w:rsidR="00AF10B5">
        <w:rPr>
          <w:i/>
          <w:sz w:val="22"/>
          <w:szCs w:val="22"/>
        </w:rPr>
        <w:t>mezinárodních</w:t>
      </w:r>
      <w:r w:rsidRPr="006603C4">
        <w:rPr>
          <w:i/>
          <w:sz w:val="22"/>
          <w:szCs w:val="22"/>
        </w:rPr>
        <w:t xml:space="preserve"> publikací daného typu.</w:t>
      </w:r>
    </w:p>
    <w:p w:rsidR="004A12F7" w:rsidRPr="004A12F7" w:rsidRDefault="004A12F7" w:rsidP="006603C4">
      <w:pPr>
        <w:keepNext/>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11"/>
        <w:gridCol w:w="1985"/>
        <w:gridCol w:w="1984"/>
      </w:tblGrid>
      <w:tr w:rsidR="000212A1" w:rsidTr="004A12F7">
        <w:trPr>
          <w:cantSplit/>
        </w:trPr>
        <w:tc>
          <w:tcPr>
            <w:tcW w:w="5211" w:type="dxa"/>
            <w:tcBorders>
              <w:top w:val="double" w:sz="4" w:space="0" w:color="auto"/>
              <w:bottom w:val="double" w:sz="4" w:space="0" w:color="auto"/>
            </w:tcBorders>
            <w:shd w:val="clear" w:color="auto" w:fill="E0E0E0"/>
            <w:vAlign w:val="center"/>
          </w:tcPr>
          <w:p w:rsidR="000212A1" w:rsidRPr="00C9327F" w:rsidRDefault="006F0CBC" w:rsidP="002D1438">
            <w:pPr>
              <w:keepNext/>
              <w:jc w:val="both"/>
              <w:rPr>
                <w:b/>
              </w:rPr>
            </w:pPr>
            <w:r>
              <w:rPr>
                <w:b/>
              </w:rPr>
              <w:t>Druh výsledku</w:t>
            </w:r>
          </w:p>
        </w:tc>
        <w:tc>
          <w:tcPr>
            <w:tcW w:w="1985" w:type="dxa"/>
            <w:tcBorders>
              <w:top w:val="double" w:sz="4" w:space="0" w:color="auto"/>
              <w:bottom w:val="double" w:sz="4" w:space="0" w:color="auto"/>
            </w:tcBorders>
            <w:shd w:val="clear" w:color="auto" w:fill="D9D9D9" w:themeFill="background1" w:themeFillShade="D9"/>
          </w:tcPr>
          <w:p w:rsidR="000212A1" w:rsidRPr="00125DAE" w:rsidRDefault="00AF10B5" w:rsidP="002D1438">
            <w:pPr>
              <w:jc w:val="center"/>
              <w:rPr>
                <w:b/>
              </w:rPr>
            </w:pPr>
            <w:r>
              <w:rPr>
                <w:b/>
              </w:rPr>
              <w:t>české</w:t>
            </w:r>
          </w:p>
        </w:tc>
        <w:tc>
          <w:tcPr>
            <w:tcW w:w="1984" w:type="dxa"/>
            <w:tcBorders>
              <w:top w:val="double" w:sz="4" w:space="0" w:color="auto"/>
              <w:bottom w:val="double" w:sz="4" w:space="0" w:color="auto"/>
            </w:tcBorders>
            <w:shd w:val="clear" w:color="auto" w:fill="D9D9D9" w:themeFill="background1" w:themeFillShade="D9"/>
            <w:vAlign w:val="center"/>
          </w:tcPr>
          <w:p w:rsidR="000212A1" w:rsidRPr="00125DAE" w:rsidRDefault="00AF10B5" w:rsidP="002D1438">
            <w:pPr>
              <w:jc w:val="center"/>
              <w:rPr>
                <w:b/>
              </w:rPr>
            </w:pPr>
            <w:r>
              <w:rPr>
                <w:b/>
              </w:rPr>
              <w:t>mezinárodní</w:t>
            </w:r>
          </w:p>
        </w:tc>
      </w:tr>
      <w:tr w:rsidR="000212A1" w:rsidTr="004A12F7">
        <w:trPr>
          <w:cantSplit/>
        </w:trPr>
        <w:tc>
          <w:tcPr>
            <w:tcW w:w="5211" w:type="dxa"/>
            <w:tcBorders>
              <w:top w:val="double" w:sz="4" w:space="0" w:color="auto"/>
            </w:tcBorders>
            <w:shd w:val="clear" w:color="auto" w:fill="auto"/>
            <w:vAlign w:val="center"/>
          </w:tcPr>
          <w:p w:rsidR="000212A1" w:rsidRPr="00125DAE" w:rsidRDefault="000212A1" w:rsidP="002D1438">
            <w:pPr>
              <w:keepNext/>
            </w:pPr>
            <w:r w:rsidRPr="00125DAE">
              <w:t>Monografie</w:t>
            </w:r>
          </w:p>
        </w:tc>
        <w:tc>
          <w:tcPr>
            <w:tcW w:w="1985" w:type="dxa"/>
            <w:tcBorders>
              <w:top w:val="double" w:sz="4" w:space="0" w:color="auto"/>
            </w:tcBorders>
          </w:tcPr>
          <w:p w:rsidR="000212A1" w:rsidRDefault="000212A1" w:rsidP="002D1438">
            <w:pPr>
              <w:jc w:val="center"/>
            </w:pPr>
          </w:p>
        </w:tc>
        <w:tc>
          <w:tcPr>
            <w:tcW w:w="1984" w:type="dxa"/>
            <w:tcBorders>
              <w:top w:val="double" w:sz="4" w:space="0" w:color="auto"/>
            </w:tcBorders>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Kapitola v kolektivní monografii</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keepNext/>
              <w:jc w:val="both"/>
            </w:pPr>
            <w:r w:rsidRPr="00125DAE">
              <w:t>Článek v recenzovaném periodiku</w:t>
            </w:r>
            <w:r w:rsidRPr="00125DAE">
              <w:rPr>
                <w:rStyle w:val="Znakapoznpodarou"/>
              </w:rPr>
              <w:footnoteReference w:id="1"/>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keepNext/>
              <w:jc w:val="both"/>
            </w:pPr>
            <w:r w:rsidRPr="00125DAE">
              <w:t>Příspěvek v recenzovaném konferenčním sborníku</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Kritický komentovaný překlad</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Vědecký slovník</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 xml:space="preserve">Jiný výsledek </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Celkový počet výsledků</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bl>
    <w:p w:rsidR="000212A1" w:rsidRPr="009049D2" w:rsidRDefault="000212A1" w:rsidP="000212A1">
      <w:pPr>
        <w:keepNext/>
        <w:jc w:val="both"/>
        <w:rPr>
          <w:sz w:val="22"/>
          <w:szCs w:val="22"/>
        </w:rPr>
      </w:pPr>
    </w:p>
    <w:p w:rsidR="000212A1" w:rsidRPr="009049D2" w:rsidRDefault="000212A1" w:rsidP="000212A1">
      <w:pPr>
        <w:keepNext/>
        <w:jc w:val="both"/>
        <w:rPr>
          <w:sz w:val="22"/>
          <w:szCs w:val="22"/>
        </w:rPr>
      </w:pPr>
    </w:p>
    <w:p w:rsidR="000212A1" w:rsidRPr="00B137FA" w:rsidRDefault="006603C4" w:rsidP="000212A1">
      <w:pPr>
        <w:keepNext/>
        <w:jc w:val="both"/>
        <w:rPr>
          <w:b/>
        </w:rPr>
      </w:pPr>
      <w:r>
        <w:rPr>
          <w:b/>
        </w:rPr>
        <w:t>A4</w:t>
      </w:r>
      <w:r w:rsidR="000212A1" w:rsidRPr="00B137FA">
        <w:rPr>
          <w:b/>
        </w:rPr>
        <w:t>.</w:t>
      </w:r>
    </w:p>
    <w:p w:rsidR="000212A1" w:rsidRPr="004917BC" w:rsidRDefault="000212A1" w:rsidP="000212A1">
      <w:pPr>
        <w:keepNext/>
        <w:jc w:val="both"/>
        <w:rPr>
          <w:b/>
        </w:rPr>
      </w:pPr>
      <w:r w:rsidRPr="000507F6">
        <w:rPr>
          <w:b/>
        </w:rPr>
        <w:t xml:space="preserve">Údaje </w:t>
      </w:r>
      <w:r w:rsidRPr="004917BC">
        <w:rPr>
          <w:b/>
        </w:rPr>
        <w:t>o počtu osob zúčastněných na programu platné ke dni 31. 12. 201</w:t>
      </w:r>
      <w:r w:rsidR="006F0CBC">
        <w:rPr>
          <w:b/>
        </w:rPr>
        <w:t>5</w:t>
      </w:r>
    </w:p>
    <w:p w:rsidR="000212A1" w:rsidRPr="004B261A" w:rsidRDefault="000212A1" w:rsidP="00D05817">
      <w:pPr>
        <w:keepN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344"/>
      </w:tblGrid>
      <w:tr w:rsidR="000212A1" w:rsidTr="002D1438">
        <w:trPr>
          <w:cantSplit/>
        </w:trPr>
        <w:tc>
          <w:tcPr>
            <w:tcW w:w="5868" w:type="dxa"/>
            <w:tcBorders>
              <w:top w:val="double" w:sz="4" w:space="0" w:color="auto"/>
              <w:left w:val="double" w:sz="4" w:space="0" w:color="auto"/>
              <w:bottom w:val="single" w:sz="4" w:space="0" w:color="auto"/>
              <w:right w:val="double" w:sz="4" w:space="0" w:color="auto"/>
            </w:tcBorders>
            <w:shd w:val="clear" w:color="auto" w:fill="E0E0E0"/>
            <w:vAlign w:val="center"/>
          </w:tcPr>
          <w:p w:rsidR="000212A1" w:rsidRPr="00A22C90" w:rsidRDefault="000212A1" w:rsidP="002D1438">
            <w:pPr>
              <w:keepNext/>
            </w:pPr>
            <w:r w:rsidRPr="00A22C90">
              <w:t>Celkový počet akademických a vědeckých pracovníků</w:t>
            </w:r>
          </w:p>
        </w:tc>
        <w:tc>
          <w:tcPr>
            <w:tcW w:w="3344" w:type="dxa"/>
            <w:tcBorders>
              <w:top w:val="double" w:sz="4" w:space="0" w:color="auto"/>
              <w:left w:val="double" w:sz="4" w:space="0" w:color="auto"/>
              <w:right w:val="double" w:sz="4" w:space="0" w:color="auto"/>
            </w:tcBorders>
            <w:shd w:val="clear" w:color="auto" w:fill="auto"/>
            <w:vAlign w:val="center"/>
          </w:tcPr>
          <w:p w:rsidR="000212A1" w:rsidRDefault="00D46175" w:rsidP="002D1438">
            <w:pPr>
              <w:keepNext/>
              <w:jc w:val="center"/>
            </w:pPr>
            <w:r>
              <w:t>66</w:t>
            </w:r>
          </w:p>
        </w:tc>
      </w:tr>
      <w:tr w:rsidR="000212A1" w:rsidTr="002D1438">
        <w:trPr>
          <w:cantSplit/>
        </w:trPr>
        <w:tc>
          <w:tcPr>
            <w:tcW w:w="5868" w:type="dxa"/>
            <w:tcBorders>
              <w:top w:val="single" w:sz="4" w:space="0" w:color="auto"/>
              <w:left w:val="double" w:sz="4" w:space="0" w:color="auto"/>
              <w:bottom w:val="double" w:sz="4" w:space="0" w:color="auto"/>
              <w:right w:val="double" w:sz="4" w:space="0" w:color="auto"/>
            </w:tcBorders>
            <w:shd w:val="clear" w:color="auto" w:fill="E0E0E0"/>
            <w:vAlign w:val="center"/>
          </w:tcPr>
          <w:p w:rsidR="000212A1" w:rsidRPr="00A22C90" w:rsidRDefault="000212A1" w:rsidP="002D1438">
            <w:r w:rsidRPr="00A22C90">
              <w:t xml:space="preserve">Celkový počet studentů </w:t>
            </w:r>
            <w:r w:rsidRPr="003C6363">
              <w:t>doktorských studijních programů</w:t>
            </w:r>
          </w:p>
        </w:tc>
        <w:tc>
          <w:tcPr>
            <w:tcW w:w="3344" w:type="dxa"/>
            <w:tcBorders>
              <w:left w:val="double" w:sz="4" w:space="0" w:color="auto"/>
              <w:bottom w:val="double" w:sz="4" w:space="0" w:color="auto"/>
              <w:right w:val="double" w:sz="4" w:space="0" w:color="auto"/>
            </w:tcBorders>
            <w:shd w:val="clear" w:color="auto" w:fill="auto"/>
            <w:vAlign w:val="center"/>
          </w:tcPr>
          <w:p w:rsidR="000212A1" w:rsidRDefault="00D46175" w:rsidP="002D1438">
            <w:pPr>
              <w:jc w:val="center"/>
            </w:pPr>
            <w:r>
              <w:t>16</w:t>
            </w:r>
          </w:p>
        </w:tc>
      </w:tr>
    </w:tbl>
    <w:p w:rsidR="00D05817" w:rsidRPr="00D05817" w:rsidRDefault="00D05817" w:rsidP="000212A1">
      <w:pPr>
        <w:keepNext/>
        <w:jc w:val="both"/>
      </w:pPr>
    </w:p>
    <w:p w:rsidR="00D05817" w:rsidRPr="00D05817" w:rsidRDefault="00D05817" w:rsidP="000212A1">
      <w:pPr>
        <w:keepNext/>
        <w:jc w:val="both"/>
      </w:pPr>
    </w:p>
    <w:p w:rsidR="000212A1" w:rsidRPr="000F1E39" w:rsidRDefault="006603C4" w:rsidP="000212A1">
      <w:pPr>
        <w:keepNext/>
        <w:jc w:val="both"/>
        <w:rPr>
          <w:b/>
        </w:rPr>
      </w:pPr>
      <w:r>
        <w:rPr>
          <w:b/>
        </w:rPr>
        <w:t>A5</w:t>
      </w:r>
      <w:r w:rsidR="000212A1" w:rsidRPr="000F1E39">
        <w:rPr>
          <w:b/>
        </w:rPr>
        <w:t>.</w:t>
      </w:r>
    </w:p>
    <w:p w:rsidR="000212A1" w:rsidRDefault="000212A1" w:rsidP="000212A1">
      <w:pPr>
        <w:keepNext/>
        <w:jc w:val="both"/>
        <w:rPr>
          <w:b/>
          <w:bCs/>
        </w:rPr>
      </w:pPr>
      <w:r>
        <w:rPr>
          <w:b/>
          <w:bCs/>
        </w:rPr>
        <w:t>Rámcový přehled vynaložených</w:t>
      </w:r>
      <w:r w:rsidRPr="000F1E39">
        <w:rPr>
          <w:b/>
          <w:bCs/>
        </w:rPr>
        <w:t xml:space="preserve"> finančních prostředků</w:t>
      </w:r>
      <w:r w:rsidRPr="00F0566D">
        <w:rPr>
          <w:rStyle w:val="Znakapoznpodarou"/>
          <w:bCs/>
        </w:rPr>
        <w:footnoteReference w:id="2"/>
      </w:r>
    </w:p>
    <w:p w:rsidR="000212A1" w:rsidRPr="006603C4" w:rsidRDefault="0023726F" w:rsidP="000212A1">
      <w:pPr>
        <w:keepNext/>
        <w:jc w:val="both"/>
        <w:rPr>
          <w:i/>
          <w:sz w:val="22"/>
          <w:szCs w:val="22"/>
        </w:rPr>
      </w:pPr>
      <w:r>
        <w:rPr>
          <w:i/>
          <w:sz w:val="22"/>
          <w:szCs w:val="22"/>
        </w:rPr>
        <w:t xml:space="preserve">Částky zaokrouhlete na tis. Kč. </w:t>
      </w:r>
      <w:r w:rsidR="000212A1" w:rsidRPr="006603C4">
        <w:rPr>
          <w:i/>
          <w:sz w:val="22"/>
          <w:szCs w:val="22"/>
        </w:rPr>
        <w:t xml:space="preserve">Pod </w:t>
      </w:r>
      <w:r w:rsidR="00D05817" w:rsidRPr="00D05817">
        <w:rPr>
          <w:i/>
          <w:sz w:val="22"/>
          <w:szCs w:val="22"/>
        </w:rPr>
        <w:t>tabulku</w:t>
      </w:r>
      <w:r w:rsidR="000212A1" w:rsidRPr="006603C4">
        <w:rPr>
          <w:i/>
          <w:sz w:val="22"/>
          <w:szCs w:val="22"/>
        </w:rPr>
        <w:t xml:space="preserve"> můžete uvést komentář k výdajům.</w:t>
      </w:r>
      <w:r w:rsidR="006B4154">
        <w:rPr>
          <w:i/>
          <w:sz w:val="22"/>
          <w:szCs w:val="22"/>
        </w:rPr>
        <w:t xml:space="preserve"> </w:t>
      </w:r>
      <w:r w:rsidR="006B4154" w:rsidRPr="00FF290C">
        <w:rPr>
          <w:i/>
          <w:sz w:val="22"/>
          <w:szCs w:val="22"/>
        </w:rPr>
        <w:t xml:space="preserve">Pokud byla v roce 2014 část finančních prostředků převedena do FÚUP k dalšímu využití </w:t>
      </w:r>
      <w:r w:rsidR="00283127">
        <w:rPr>
          <w:i/>
          <w:sz w:val="22"/>
          <w:szCs w:val="22"/>
        </w:rPr>
        <w:t>v roce 2015, uveďte pod tabulku</w:t>
      </w:r>
      <w:r w:rsidR="006B4154" w:rsidRPr="00FF290C">
        <w:rPr>
          <w:i/>
          <w:sz w:val="22"/>
          <w:szCs w:val="22"/>
        </w:rPr>
        <w:t xml:space="preserve"> </w:t>
      </w:r>
      <w:r w:rsidR="002971F1" w:rsidRPr="00FF290C">
        <w:rPr>
          <w:i/>
          <w:sz w:val="22"/>
          <w:szCs w:val="22"/>
        </w:rPr>
        <w:t xml:space="preserve">využití </w:t>
      </w:r>
      <w:r w:rsidR="00F0566D" w:rsidRPr="00FF290C">
        <w:rPr>
          <w:i/>
          <w:sz w:val="22"/>
          <w:szCs w:val="22"/>
        </w:rPr>
        <w:t xml:space="preserve">těchto prostředků </w:t>
      </w:r>
      <w:r w:rsidR="002971F1" w:rsidRPr="00FF290C">
        <w:rPr>
          <w:i/>
          <w:sz w:val="22"/>
          <w:szCs w:val="22"/>
        </w:rPr>
        <w:t>na jednotlivé typy nákladů.</w:t>
      </w:r>
    </w:p>
    <w:p w:rsidR="000212A1" w:rsidRDefault="000212A1" w:rsidP="000212A1">
      <w:pPr>
        <w:keepNext/>
        <w:suppressAutoHyphens/>
        <w:jc w:val="both"/>
        <w:rPr>
          <w:b/>
          <w:bC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00"/>
        <w:gridCol w:w="2264"/>
      </w:tblGrid>
      <w:tr w:rsidR="000212A1" w:rsidRPr="0076361C" w:rsidTr="002D1438">
        <w:trPr>
          <w:cantSplit/>
          <w:tblHeader/>
        </w:trPr>
        <w:tc>
          <w:tcPr>
            <w:tcW w:w="4500" w:type="dxa"/>
            <w:tcBorders>
              <w:top w:val="double" w:sz="4" w:space="0" w:color="auto"/>
              <w:bottom w:val="double" w:sz="4" w:space="0" w:color="auto"/>
            </w:tcBorders>
            <w:shd w:val="clear" w:color="auto" w:fill="E0E0E0"/>
            <w:vAlign w:val="center"/>
          </w:tcPr>
          <w:p w:rsidR="000212A1" w:rsidRPr="0076361C" w:rsidRDefault="000212A1" w:rsidP="002D1438">
            <w:pPr>
              <w:keepNext/>
              <w:jc w:val="center"/>
              <w:rPr>
                <w:b/>
                <w:bCs/>
              </w:rPr>
            </w:pPr>
            <w:r w:rsidRPr="0076361C">
              <w:rPr>
                <w:b/>
                <w:bCs/>
              </w:rPr>
              <w:t>Typ nákladů</w:t>
            </w:r>
          </w:p>
        </w:tc>
        <w:tc>
          <w:tcPr>
            <w:tcW w:w="2264" w:type="dxa"/>
            <w:tcBorders>
              <w:top w:val="double" w:sz="4" w:space="0" w:color="auto"/>
              <w:bottom w:val="double" w:sz="4" w:space="0" w:color="auto"/>
            </w:tcBorders>
            <w:shd w:val="clear" w:color="auto" w:fill="E0E0E0"/>
            <w:vAlign w:val="center"/>
          </w:tcPr>
          <w:p w:rsidR="000212A1" w:rsidRPr="0076361C" w:rsidRDefault="000212A1" w:rsidP="002D1438">
            <w:pPr>
              <w:keepNext/>
              <w:jc w:val="center"/>
              <w:rPr>
                <w:b/>
                <w:bCs/>
              </w:rPr>
            </w:pPr>
            <w:r w:rsidRPr="0076361C">
              <w:rPr>
                <w:b/>
                <w:bCs/>
              </w:rPr>
              <w:t>Rok 201</w:t>
            </w:r>
            <w:r w:rsidR="002B0820">
              <w:rPr>
                <w:b/>
                <w:bCs/>
              </w:rPr>
              <w:t>5</w:t>
            </w:r>
            <w:r w:rsidRPr="0076361C">
              <w:rPr>
                <w:b/>
                <w:bCs/>
              </w:rPr>
              <w:t xml:space="preserve"> </w:t>
            </w:r>
          </w:p>
          <w:p w:rsidR="000212A1" w:rsidRPr="0076361C" w:rsidRDefault="000212A1" w:rsidP="002D1438">
            <w:pPr>
              <w:keepNext/>
              <w:jc w:val="center"/>
              <w:rPr>
                <w:b/>
                <w:bCs/>
              </w:rPr>
            </w:pPr>
            <w:r w:rsidRPr="0076361C">
              <w:rPr>
                <w:b/>
                <w:bCs/>
              </w:rPr>
              <w:t>(tis. Kč)</w:t>
            </w:r>
          </w:p>
        </w:tc>
      </w:tr>
      <w:tr w:rsidR="000212A1" w:rsidRPr="0076361C" w:rsidTr="002D1438">
        <w:trPr>
          <w:cantSplit/>
        </w:trPr>
        <w:tc>
          <w:tcPr>
            <w:tcW w:w="4500" w:type="dxa"/>
            <w:tcBorders>
              <w:top w:val="double" w:sz="4" w:space="0" w:color="auto"/>
            </w:tcBorders>
            <w:shd w:val="clear" w:color="auto" w:fill="auto"/>
          </w:tcPr>
          <w:p w:rsidR="000212A1" w:rsidRPr="0076361C" w:rsidRDefault="000212A1" w:rsidP="002D1438">
            <w:pPr>
              <w:keepNext/>
              <w:jc w:val="both"/>
              <w:rPr>
                <w:bCs/>
              </w:rPr>
            </w:pPr>
            <w:r w:rsidRPr="0076361C">
              <w:rPr>
                <w:bCs/>
              </w:rPr>
              <w:t xml:space="preserve">Osobní náklady </w:t>
            </w:r>
            <w:r w:rsidRPr="0076361C">
              <w:rPr>
                <w:bCs/>
                <w:sz w:val="20"/>
                <w:szCs w:val="20"/>
              </w:rPr>
              <w:t>(mzdové prostředky a odvody)</w:t>
            </w:r>
          </w:p>
        </w:tc>
        <w:tc>
          <w:tcPr>
            <w:tcW w:w="2264" w:type="dxa"/>
            <w:tcBorders>
              <w:top w:val="double" w:sz="4" w:space="0" w:color="auto"/>
            </w:tcBorders>
            <w:shd w:val="clear" w:color="auto" w:fill="auto"/>
          </w:tcPr>
          <w:p w:rsidR="000212A1" w:rsidRPr="0076361C" w:rsidRDefault="00D46175" w:rsidP="002D1438">
            <w:pPr>
              <w:keepNext/>
              <w:jc w:val="right"/>
              <w:rPr>
                <w:bCs/>
              </w:rPr>
            </w:pPr>
            <w:r>
              <w:rPr>
                <w:bCs/>
              </w:rPr>
              <w:t>3 124</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Stipendia</w:t>
            </w:r>
          </w:p>
        </w:tc>
        <w:tc>
          <w:tcPr>
            <w:tcW w:w="2264" w:type="dxa"/>
            <w:shd w:val="clear" w:color="auto" w:fill="auto"/>
          </w:tcPr>
          <w:p w:rsidR="000212A1" w:rsidRPr="0076361C" w:rsidRDefault="00D46175" w:rsidP="002D1438">
            <w:pPr>
              <w:keepNext/>
              <w:jc w:val="right"/>
              <w:rPr>
                <w:bCs/>
              </w:rPr>
            </w:pPr>
            <w:r>
              <w:rPr>
                <w:bCs/>
              </w:rPr>
              <w:t>130</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Provozní náklady a služby</w:t>
            </w:r>
          </w:p>
        </w:tc>
        <w:tc>
          <w:tcPr>
            <w:tcW w:w="2264" w:type="dxa"/>
            <w:shd w:val="clear" w:color="auto" w:fill="auto"/>
          </w:tcPr>
          <w:p w:rsidR="000212A1" w:rsidRPr="0076361C" w:rsidRDefault="00D46175" w:rsidP="002D1438">
            <w:pPr>
              <w:keepNext/>
              <w:jc w:val="right"/>
              <w:rPr>
                <w:bCs/>
              </w:rPr>
            </w:pPr>
            <w:r>
              <w:rPr>
                <w:bCs/>
              </w:rPr>
              <w:t>1568</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Doplňkové a režijní náklady</w:t>
            </w:r>
          </w:p>
        </w:tc>
        <w:tc>
          <w:tcPr>
            <w:tcW w:w="2264" w:type="dxa"/>
            <w:shd w:val="clear" w:color="auto" w:fill="auto"/>
          </w:tcPr>
          <w:p w:rsidR="000212A1" w:rsidRPr="0076361C" w:rsidRDefault="00D46175" w:rsidP="002D1438">
            <w:pPr>
              <w:keepNext/>
              <w:jc w:val="right"/>
              <w:rPr>
                <w:bCs/>
              </w:rPr>
            </w:pPr>
            <w:r>
              <w:rPr>
                <w:bCs/>
              </w:rPr>
              <w:t>1 626</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Investice</w:t>
            </w:r>
          </w:p>
        </w:tc>
        <w:tc>
          <w:tcPr>
            <w:tcW w:w="2264" w:type="dxa"/>
            <w:shd w:val="clear" w:color="auto" w:fill="auto"/>
          </w:tcPr>
          <w:p w:rsidR="000212A1" w:rsidRPr="0076361C" w:rsidRDefault="00D46175" w:rsidP="002D1438">
            <w:pPr>
              <w:keepNext/>
              <w:jc w:val="right"/>
              <w:rPr>
                <w:bCs/>
              </w:rPr>
            </w:pPr>
            <w:r>
              <w:rPr>
                <w:bCs/>
              </w:rPr>
              <w:t>0</w:t>
            </w:r>
          </w:p>
        </w:tc>
      </w:tr>
      <w:tr w:rsidR="000212A1" w:rsidRPr="0076361C" w:rsidTr="002D1438">
        <w:trPr>
          <w:cantSplit/>
        </w:trPr>
        <w:tc>
          <w:tcPr>
            <w:tcW w:w="4500" w:type="dxa"/>
            <w:shd w:val="clear" w:color="auto" w:fill="auto"/>
          </w:tcPr>
          <w:p w:rsidR="000212A1" w:rsidRPr="00225833" w:rsidRDefault="000212A1" w:rsidP="002D1438">
            <w:pPr>
              <w:keepNext/>
              <w:jc w:val="both"/>
              <w:rPr>
                <w:bCs/>
              </w:rPr>
            </w:pPr>
            <w:r w:rsidRPr="00225833">
              <w:rPr>
                <w:bCs/>
              </w:rPr>
              <w:t>FÚUP</w:t>
            </w:r>
          </w:p>
        </w:tc>
        <w:tc>
          <w:tcPr>
            <w:tcW w:w="2264" w:type="dxa"/>
            <w:shd w:val="clear" w:color="auto" w:fill="auto"/>
          </w:tcPr>
          <w:p w:rsidR="000212A1" w:rsidRPr="0076361C" w:rsidRDefault="00D46175" w:rsidP="002D1438">
            <w:pPr>
              <w:keepNext/>
              <w:jc w:val="right"/>
              <w:rPr>
                <w:bCs/>
              </w:rPr>
            </w:pPr>
            <w:r>
              <w:rPr>
                <w:bCs/>
              </w:rPr>
              <w:t>58</w:t>
            </w:r>
          </w:p>
        </w:tc>
      </w:tr>
      <w:tr w:rsidR="000212A1" w:rsidRPr="0076361C" w:rsidTr="002D1438">
        <w:trPr>
          <w:cantSplit/>
        </w:trPr>
        <w:tc>
          <w:tcPr>
            <w:tcW w:w="4500" w:type="dxa"/>
            <w:shd w:val="clear" w:color="auto" w:fill="auto"/>
          </w:tcPr>
          <w:p w:rsidR="000212A1" w:rsidRPr="0076361C" w:rsidRDefault="000212A1" w:rsidP="002D1438">
            <w:pPr>
              <w:suppressAutoHyphens/>
              <w:jc w:val="both"/>
              <w:rPr>
                <w:bCs/>
              </w:rPr>
            </w:pPr>
            <w:r w:rsidRPr="0076361C">
              <w:rPr>
                <w:bCs/>
              </w:rPr>
              <w:t>Celkem</w:t>
            </w:r>
          </w:p>
        </w:tc>
        <w:tc>
          <w:tcPr>
            <w:tcW w:w="2264" w:type="dxa"/>
            <w:shd w:val="clear" w:color="auto" w:fill="auto"/>
          </w:tcPr>
          <w:p w:rsidR="000212A1" w:rsidRPr="0076361C" w:rsidRDefault="00D46175" w:rsidP="002D1438">
            <w:pPr>
              <w:suppressAutoHyphens/>
              <w:jc w:val="right"/>
              <w:rPr>
                <w:bCs/>
              </w:rPr>
            </w:pPr>
            <w:r>
              <w:rPr>
                <w:bCs/>
              </w:rPr>
              <w:t>6 506</w:t>
            </w:r>
          </w:p>
        </w:tc>
      </w:tr>
    </w:tbl>
    <w:p w:rsidR="000212A1" w:rsidRDefault="000212A1" w:rsidP="00D05817">
      <w:pPr>
        <w:jc w:val="both"/>
      </w:pPr>
    </w:p>
    <w:p w:rsidR="00C437F5" w:rsidRDefault="00C437F5" w:rsidP="00C437F5">
      <w:pPr>
        <w:jc w:val="both"/>
      </w:pPr>
      <w:r>
        <w:lastRenderedPageBreak/>
        <w:t xml:space="preserve">V rámci FÚUP byla k využití v roce 2015 převedena částka ve výši </w:t>
      </w:r>
      <w:r w:rsidRPr="00C437F5">
        <w:rPr>
          <w:b/>
        </w:rPr>
        <w:t>39 134,- Kč</w:t>
      </w:r>
      <w:r>
        <w:t>. Prostředky ve výši 6 200,- Kč byly dočerpány prostřednictvím položky „Osobní náklady“ a částka ve výši 32 934,- Kč prostřednictvím „Provozních nákladů a služeb“.</w:t>
      </w:r>
    </w:p>
    <w:p w:rsidR="00C437F5" w:rsidRDefault="00C437F5" w:rsidP="00D05817">
      <w:pPr>
        <w:jc w:val="both"/>
      </w:pPr>
    </w:p>
    <w:p w:rsidR="00F3329D" w:rsidRDefault="00F3329D" w:rsidP="00F3329D">
      <w:r>
        <w:t xml:space="preserve">Převod do FÚUP z roku 2015 vyplývá z položky cestovné ve </w:t>
      </w:r>
      <w:r w:rsidRPr="00D46175">
        <w:t xml:space="preserve">výši </w:t>
      </w:r>
      <w:r w:rsidR="00D46175" w:rsidRPr="00D46175">
        <w:t>57 881</w:t>
      </w:r>
      <w:r w:rsidRPr="00D46175">
        <w:t xml:space="preserve"> Kč</w:t>
      </w:r>
      <w:r>
        <w:t xml:space="preserve"> a zohledňuje výhled na cestovní náklady zahraničních účastníků závěrečné konference PRVOUK „Soukromé nebo veřejné v soudobém právu“, plánované na říjen 2016.  </w:t>
      </w:r>
    </w:p>
    <w:p w:rsidR="002B0820" w:rsidRPr="002B0820" w:rsidRDefault="002B0820" w:rsidP="00D05817">
      <w:pPr>
        <w:rPr>
          <w:bCs/>
        </w:rPr>
      </w:pPr>
    </w:p>
    <w:p w:rsidR="000212A1" w:rsidRPr="000F1E39" w:rsidRDefault="006603C4" w:rsidP="000212A1">
      <w:pPr>
        <w:keepNext/>
        <w:jc w:val="both"/>
        <w:rPr>
          <w:b/>
        </w:rPr>
      </w:pPr>
      <w:r>
        <w:rPr>
          <w:b/>
        </w:rPr>
        <w:t>A6</w:t>
      </w:r>
      <w:r w:rsidR="000212A1" w:rsidRPr="000F1E39">
        <w:rPr>
          <w:b/>
        </w:rPr>
        <w:t>.</w:t>
      </w:r>
    </w:p>
    <w:p w:rsidR="000212A1" w:rsidRDefault="000212A1" w:rsidP="000212A1">
      <w:pPr>
        <w:keepNext/>
        <w:jc w:val="both"/>
        <w:rPr>
          <w:bCs/>
        </w:rPr>
      </w:pPr>
      <w:r w:rsidRPr="000F1E39">
        <w:rPr>
          <w:b/>
        </w:rPr>
        <w:t>P</w:t>
      </w:r>
      <w:r w:rsidRPr="000F1E39">
        <w:rPr>
          <w:b/>
          <w:bCs/>
        </w:rPr>
        <w:t>řehled dlouhodobého hmotného nebo nehmotného majetku v hodnotě přesahující hodnotu stanovenou právním předpisem pro veřejnou zakázku malého rozsahu</w:t>
      </w:r>
      <w:r>
        <w:rPr>
          <w:rStyle w:val="Znakapoznpodarou"/>
          <w:b/>
          <w:bCs/>
        </w:rPr>
        <w:footnoteReference w:id="3"/>
      </w:r>
      <w:r w:rsidRPr="000F1E39">
        <w:rPr>
          <w:b/>
          <w:bCs/>
        </w:rPr>
        <w:t>, který byl pořízen z finančních prostředků na PRVOUK</w:t>
      </w:r>
    </w:p>
    <w:p w:rsidR="000212A1" w:rsidRPr="006603C4" w:rsidRDefault="00F0566D" w:rsidP="000212A1">
      <w:pPr>
        <w:jc w:val="both"/>
        <w:rPr>
          <w:bCs/>
          <w:i/>
          <w:sz w:val="22"/>
          <w:szCs w:val="22"/>
        </w:rPr>
      </w:pPr>
      <w:r>
        <w:rPr>
          <w:bCs/>
          <w:i/>
          <w:sz w:val="22"/>
          <w:szCs w:val="22"/>
        </w:rPr>
        <w:t>Uveďte vždy název přístroje a</w:t>
      </w:r>
      <w:r w:rsidR="000212A1" w:rsidRPr="006603C4">
        <w:rPr>
          <w:bCs/>
          <w:i/>
          <w:sz w:val="22"/>
          <w:szCs w:val="22"/>
        </w:rPr>
        <w:t xml:space="preserve"> cenu v Kč (bez DPH). </w:t>
      </w:r>
    </w:p>
    <w:p w:rsidR="000212A1" w:rsidRDefault="000212A1" w:rsidP="00097D74">
      <w:pPr>
        <w:jc w:val="both"/>
        <w:rPr>
          <w:b/>
        </w:rPr>
      </w:pPr>
    </w:p>
    <w:p w:rsidR="0023726F" w:rsidRDefault="0023726F" w:rsidP="00097D74">
      <w:pPr>
        <w:pBdr>
          <w:bottom w:val="single" w:sz="6" w:space="1" w:color="auto"/>
        </w:pBdr>
        <w:jc w:val="both"/>
        <w:rPr>
          <w:b/>
        </w:rPr>
      </w:pPr>
    </w:p>
    <w:p w:rsidR="0023726F" w:rsidRDefault="0023726F" w:rsidP="00097D74">
      <w:pPr>
        <w:jc w:val="both"/>
        <w:rPr>
          <w:b/>
        </w:rPr>
      </w:pPr>
    </w:p>
    <w:p w:rsidR="0023726F" w:rsidRDefault="0023726F" w:rsidP="00097D74">
      <w:pPr>
        <w:jc w:val="both"/>
        <w:rPr>
          <w:b/>
        </w:rPr>
      </w:pPr>
    </w:p>
    <w:p w:rsidR="00FF290C" w:rsidRDefault="00132D73" w:rsidP="00323AB2">
      <w:pPr>
        <w:keepNext/>
        <w:jc w:val="center"/>
        <w:rPr>
          <w:b/>
          <w:smallCaps/>
          <w:sz w:val="36"/>
          <w:szCs w:val="36"/>
        </w:rPr>
      </w:pPr>
      <w:r w:rsidRPr="009A2042">
        <w:rPr>
          <w:b/>
          <w:smallCaps/>
          <w:sz w:val="36"/>
          <w:szCs w:val="36"/>
        </w:rPr>
        <w:t>ČÁST B</w:t>
      </w:r>
    </w:p>
    <w:p w:rsidR="00B1417A" w:rsidRPr="00132D73" w:rsidRDefault="00FF290C" w:rsidP="00323AB2">
      <w:pPr>
        <w:keepNext/>
        <w:jc w:val="center"/>
        <w:rPr>
          <w:b/>
          <w:smallCaps/>
          <w:sz w:val="36"/>
          <w:szCs w:val="36"/>
        </w:rPr>
      </w:pPr>
      <w:r w:rsidRPr="00FF290C">
        <w:t xml:space="preserve">(vztahuje se </w:t>
      </w:r>
      <w:r w:rsidRPr="00FF290C">
        <w:rPr>
          <w:sz w:val="22"/>
          <w:szCs w:val="22"/>
        </w:rPr>
        <w:t>k dosavadnímu</w:t>
      </w:r>
      <w:r w:rsidRPr="00F0566D">
        <w:rPr>
          <w:sz w:val="22"/>
          <w:szCs w:val="22"/>
        </w:rPr>
        <w:t xml:space="preserve"> období rea</w:t>
      </w:r>
      <w:r>
        <w:rPr>
          <w:sz w:val="22"/>
          <w:szCs w:val="22"/>
        </w:rPr>
        <w:t xml:space="preserve">lizace programu, </w:t>
      </w:r>
      <w:r w:rsidRPr="00F0566D">
        <w:rPr>
          <w:sz w:val="22"/>
          <w:szCs w:val="22"/>
        </w:rPr>
        <w:t xml:space="preserve">tj. k období </w:t>
      </w:r>
      <w:r>
        <w:rPr>
          <w:sz w:val="22"/>
          <w:szCs w:val="22"/>
        </w:rPr>
        <w:t>roků</w:t>
      </w:r>
      <w:r w:rsidRPr="00F0566D">
        <w:rPr>
          <w:sz w:val="22"/>
          <w:szCs w:val="22"/>
        </w:rPr>
        <w:t xml:space="preserve"> 2012–2015)</w:t>
      </w:r>
    </w:p>
    <w:p w:rsidR="00B1417A" w:rsidRDefault="00B1417A" w:rsidP="00323AB2">
      <w:pPr>
        <w:keepNext/>
        <w:jc w:val="both"/>
      </w:pPr>
    </w:p>
    <w:p w:rsidR="00B1417A" w:rsidRPr="0075347D" w:rsidRDefault="00B1417A" w:rsidP="00B1417A">
      <w:pPr>
        <w:keepNext/>
        <w:jc w:val="both"/>
        <w:rPr>
          <w:b/>
        </w:rPr>
      </w:pPr>
      <w:r>
        <w:rPr>
          <w:b/>
        </w:rPr>
        <w:t>B1</w:t>
      </w:r>
      <w:r w:rsidRPr="0075347D">
        <w:rPr>
          <w:b/>
        </w:rPr>
        <w:t>.</w:t>
      </w:r>
    </w:p>
    <w:p w:rsidR="007363A8" w:rsidRDefault="00097D74" w:rsidP="000212A1">
      <w:pPr>
        <w:keepNext/>
        <w:jc w:val="both"/>
        <w:rPr>
          <w:b/>
        </w:rPr>
      </w:pPr>
      <w:r>
        <w:rPr>
          <w:b/>
        </w:rPr>
        <w:t>Stručné shrnutí dosavadní realizace programu</w:t>
      </w:r>
    </w:p>
    <w:p w:rsidR="007363A8" w:rsidRDefault="00B77DDB" w:rsidP="000212A1">
      <w:pPr>
        <w:keepNext/>
        <w:jc w:val="both"/>
        <w:rPr>
          <w:i/>
          <w:sz w:val="22"/>
          <w:szCs w:val="22"/>
        </w:rPr>
      </w:pPr>
      <w:r>
        <w:rPr>
          <w:i/>
          <w:sz w:val="22"/>
          <w:szCs w:val="22"/>
        </w:rPr>
        <w:t xml:space="preserve">Předpokládaný rozsah: </w:t>
      </w:r>
      <w:r w:rsidR="00DB00F5">
        <w:rPr>
          <w:i/>
          <w:sz w:val="22"/>
          <w:szCs w:val="22"/>
        </w:rPr>
        <w:t>2</w:t>
      </w:r>
      <w:r w:rsidR="00FF290C">
        <w:rPr>
          <w:i/>
          <w:sz w:val="22"/>
          <w:szCs w:val="22"/>
        </w:rPr>
        <w:t>–</w:t>
      </w:r>
      <w:r w:rsidR="00DB00F5">
        <w:rPr>
          <w:i/>
          <w:sz w:val="22"/>
          <w:szCs w:val="22"/>
        </w:rPr>
        <w:t>5</w:t>
      </w:r>
      <w:r w:rsidR="00FF290C">
        <w:rPr>
          <w:i/>
          <w:sz w:val="22"/>
          <w:szCs w:val="22"/>
        </w:rPr>
        <w:t xml:space="preserve"> stran.</w:t>
      </w:r>
      <w:r>
        <w:rPr>
          <w:i/>
          <w:sz w:val="22"/>
          <w:szCs w:val="22"/>
        </w:rPr>
        <w:t xml:space="preserve"> </w:t>
      </w:r>
      <w:r w:rsidR="00097D74" w:rsidRPr="00C236A3">
        <w:rPr>
          <w:i/>
          <w:sz w:val="22"/>
          <w:szCs w:val="22"/>
        </w:rPr>
        <w:t>Uveďte zejména, kterých plánovaných cílů uvedených v části j)</w:t>
      </w:r>
      <w:r w:rsidR="00F0566D">
        <w:rPr>
          <w:rStyle w:val="Znakapoznpodarou"/>
          <w:i/>
          <w:sz w:val="22"/>
          <w:szCs w:val="22"/>
        </w:rPr>
        <w:footnoteReference w:id="4"/>
      </w:r>
      <w:r w:rsidR="00097D74" w:rsidRPr="00C236A3">
        <w:rPr>
          <w:i/>
          <w:sz w:val="22"/>
          <w:szCs w:val="22"/>
        </w:rPr>
        <w:t>, popř</w:t>
      </w:r>
      <w:r w:rsidR="00C236A3">
        <w:rPr>
          <w:i/>
          <w:sz w:val="22"/>
          <w:szCs w:val="22"/>
        </w:rPr>
        <w:t>. h)</w:t>
      </w:r>
      <w:r w:rsidR="00F0566D">
        <w:rPr>
          <w:rStyle w:val="Znakapoznpodarou"/>
          <w:i/>
          <w:sz w:val="22"/>
          <w:szCs w:val="22"/>
        </w:rPr>
        <w:footnoteReference w:id="5"/>
      </w:r>
      <w:r w:rsidR="00C236A3">
        <w:rPr>
          <w:i/>
          <w:sz w:val="22"/>
          <w:szCs w:val="22"/>
        </w:rPr>
        <w:t xml:space="preserve"> přihlášky programu bylo v </w:t>
      </w:r>
      <w:r w:rsidR="00097D74" w:rsidRPr="00C236A3">
        <w:rPr>
          <w:i/>
          <w:sz w:val="22"/>
          <w:szCs w:val="22"/>
        </w:rPr>
        <w:t xml:space="preserve">dosavadním průběhu realizace programu dosaženo, zda během tohoto období došlo k udržení či zlepšení vědeckého výkonu a kvality v národním a mezinárodním měřítku </w:t>
      </w:r>
      <w:r w:rsidR="00F0566D">
        <w:rPr>
          <w:i/>
          <w:sz w:val="22"/>
          <w:szCs w:val="22"/>
        </w:rPr>
        <w:t xml:space="preserve">(dle indikátorů uvedených v části j) přihlášky programu) </w:t>
      </w:r>
      <w:r w:rsidR="00097D74" w:rsidRPr="00C236A3">
        <w:rPr>
          <w:i/>
          <w:sz w:val="22"/>
          <w:szCs w:val="22"/>
        </w:rPr>
        <w:t>a jaké faktory k tomu přispěly.</w:t>
      </w:r>
    </w:p>
    <w:p w:rsidR="00F32CF6" w:rsidRDefault="00F32CF6" w:rsidP="000212A1">
      <w:pPr>
        <w:keepNext/>
        <w:jc w:val="both"/>
        <w:rPr>
          <w:i/>
          <w:sz w:val="22"/>
          <w:szCs w:val="22"/>
        </w:rPr>
      </w:pPr>
    </w:p>
    <w:p w:rsidR="00A2295F" w:rsidRDefault="00502DB8" w:rsidP="00586EC9">
      <w:pPr>
        <w:keepNext/>
        <w:jc w:val="both"/>
        <w:rPr>
          <w:sz w:val="22"/>
          <w:szCs w:val="22"/>
        </w:rPr>
      </w:pPr>
      <w:r>
        <w:rPr>
          <w:sz w:val="22"/>
          <w:szCs w:val="22"/>
        </w:rPr>
        <w:t xml:space="preserve">Program byl dle přihlášky rozvržen do poloviny roku 2017. Zkrácení programu do konce roku 2016 nepředstavuje dramatický vliv na celkové výsledky. Jejich definitivní shrnutí a vyhodnocení bude nicméně možné až na základě závěrů plánované společné konference P04, P05 a P06 o vztahu soukromého a veřejného práva v říjnu 2016. </w:t>
      </w:r>
      <w:r w:rsidRPr="00502DB8">
        <w:rPr>
          <w:sz w:val="22"/>
          <w:szCs w:val="22"/>
        </w:rPr>
        <w:t xml:space="preserve">Zadání přihlášky vycházelo z toho, že </w:t>
      </w:r>
      <w:r w:rsidRPr="00F62A17">
        <w:rPr>
          <w:b/>
          <w:sz w:val="22"/>
          <w:szCs w:val="22"/>
        </w:rPr>
        <w:t>procesy europeizace a globalizace působí na veřejné právo předně normativními mechanismy</w:t>
      </w:r>
      <w:r w:rsidRPr="00502DB8">
        <w:rPr>
          <w:sz w:val="22"/>
          <w:szCs w:val="22"/>
        </w:rPr>
        <w:t xml:space="preserve"> (hlavně právní řád EU), jež jsou národní právní řády přímo či nepřímo, skutečně nebo potencionálně nuceny absorbovat. Také judikatura unijních soudů, ale i soudních institucí některých mezinárodních organizací posilují roli soudních precedentů. Program měl v první etapě analyzovat míru změn shora v jednotlivých oborech veřejného práva a její příčiny. Kupříkladu ve vazbě na rozsah svěřených pravomocí orgánům EU, ale též ve vazbě na fenomén tzv. „neutralizace“ národních právních řádů v závislosti na latentní expanzi vlivu evropského práva na právo národní.</w:t>
      </w:r>
      <w:r>
        <w:rPr>
          <w:sz w:val="22"/>
          <w:szCs w:val="22"/>
        </w:rPr>
        <w:t xml:space="preserve"> Toto zadání bylo naplněno</w:t>
      </w:r>
      <w:r w:rsidR="007352A8">
        <w:rPr>
          <w:sz w:val="22"/>
          <w:szCs w:val="22"/>
        </w:rPr>
        <w:t>.</w:t>
      </w:r>
      <w:r w:rsidR="00586EC9">
        <w:rPr>
          <w:sz w:val="22"/>
          <w:szCs w:val="22"/>
        </w:rPr>
        <w:t xml:space="preserve"> </w:t>
      </w:r>
      <w:r w:rsidR="007352A8" w:rsidRPr="00586EC9">
        <w:rPr>
          <w:sz w:val="22"/>
          <w:szCs w:val="22"/>
        </w:rPr>
        <w:t>Analýzy ukázaly, jak proces europeizace a globalizace vede k restrukturalizaci modelu moci a vlivu a</w:t>
      </w:r>
      <w:r w:rsidR="009A2042">
        <w:rPr>
          <w:sz w:val="22"/>
          <w:szCs w:val="22"/>
        </w:rPr>
        <w:t> </w:t>
      </w:r>
      <w:r w:rsidR="007352A8" w:rsidRPr="00586EC9">
        <w:rPr>
          <w:sz w:val="22"/>
          <w:szCs w:val="22"/>
        </w:rPr>
        <w:t xml:space="preserve">tím působí jak na národní právní systémy, tak na míru suverenity jednotlivých národních států. </w:t>
      </w:r>
      <w:r w:rsidR="00B45B80" w:rsidRPr="00586EC9">
        <w:rPr>
          <w:sz w:val="22"/>
          <w:szCs w:val="22"/>
        </w:rPr>
        <w:t>Unijní právo je sice respektováno ústavními soudy členských států EU a aplikováno jejich národními soudy obecnými, ovšem mnohočetná soudcovská interpretace unijní právo ve skutečnosti rozmělňuje a</w:t>
      </w:r>
      <w:r w:rsidR="009A2042">
        <w:rPr>
          <w:sz w:val="22"/>
          <w:szCs w:val="22"/>
        </w:rPr>
        <w:t> </w:t>
      </w:r>
      <w:r w:rsidR="00B45B80" w:rsidRPr="00586EC9">
        <w:rPr>
          <w:sz w:val="22"/>
          <w:szCs w:val="22"/>
        </w:rPr>
        <w:t xml:space="preserve">paradoxně zpomaluje jeho vývoj. Má též vliv na pružnost celého systému, což potvrzuje i právně komplikované řešení uprchlické krize. </w:t>
      </w:r>
      <w:r w:rsidR="007352A8" w:rsidRPr="00586EC9">
        <w:rPr>
          <w:sz w:val="22"/>
          <w:szCs w:val="22"/>
        </w:rPr>
        <w:t xml:space="preserve">Národní právo musí stále častěji řešit problémy, které překračují hranice států, k čemuž je třeba neustále zvát na pomoc mezinárodní právo, ale i právo srovnávací. Používání mezinárodního i srovnávacího práva nelze v takovém kontextu považovat za </w:t>
      </w:r>
      <w:r w:rsidR="007352A8" w:rsidRPr="00586EC9">
        <w:rPr>
          <w:sz w:val="22"/>
          <w:szCs w:val="22"/>
        </w:rPr>
        <w:lastRenderedPageBreak/>
        <w:t xml:space="preserve">luxus, nýbrž za projev vizionářství. Vztah mezinárodního a srovnávacího práva </w:t>
      </w:r>
      <w:r w:rsidR="00B45B80" w:rsidRPr="00586EC9">
        <w:rPr>
          <w:sz w:val="22"/>
          <w:szCs w:val="22"/>
        </w:rPr>
        <w:t>je</w:t>
      </w:r>
      <w:r w:rsidR="007352A8" w:rsidRPr="00586EC9">
        <w:rPr>
          <w:sz w:val="22"/>
          <w:szCs w:val="22"/>
        </w:rPr>
        <w:t xml:space="preserve"> vzájemně se doplňující soužití dvou prostředků k překonání provincialismu národních právních systémů. Oba dva pilíře kosmopolitní úlohy práva uspokojují intelektuální rozčarování z národního práva, a proto musejí spolupracovat. </w:t>
      </w:r>
      <w:r w:rsidR="00B45B80" w:rsidRPr="00586EC9">
        <w:rPr>
          <w:sz w:val="22"/>
          <w:szCs w:val="22"/>
        </w:rPr>
        <w:t>O</w:t>
      </w:r>
      <w:r w:rsidR="007352A8" w:rsidRPr="00586EC9">
        <w:rPr>
          <w:sz w:val="22"/>
          <w:szCs w:val="22"/>
        </w:rPr>
        <w:t>bě disciplíny nejsou od sebe izolovány a těží ze vzájemných vazeb. Jako příklad je možné uvést harmonizaci práva v Evropské unii, u jehož ideového zrodu stálo srovnávací právo a pro něž mezinárodní právo vytvořilo nástroje a instituty.</w:t>
      </w:r>
      <w:r w:rsidR="00B45B80" w:rsidRPr="00586EC9">
        <w:rPr>
          <w:sz w:val="22"/>
          <w:szCs w:val="22"/>
        </w:rPr>
        <w:t xml:space="preserve"> Bylo třeba dát odpověď na otázku, jaké je současné postavení evropského práva v takovém systému. Internacionalisté zastávají stanovisko, že je satelitním systémem mezinárodního řádu, jeho autonomním režimem. Europeisté setrvávají na specifickém postavení unijní práva jako samostatného nadnárodního normativního systému. </w:t>
      </w:r>
      <w:r w:rsidR="00F05E70" w:rsidRPr="00586EC9">
        <w:rPr>
          <w:sz w:val="22"/>
          <w:szCs w:val="22"/>
        </w:rPr>
        <w:t>K tomuto názoru se přiklonil i řešitelský kolektiv. Přesto ovšem přetrvává konkurence mezinárodněprávní a</w:t>
      </w:r>
      <w:r w:rsidR="009A2042">
        <w:rPr>
          <w:sz w:val="22"/>
          <w:szCs w:val="22"/>
        </w:rPr>
        <w:t> </w:t>
      </w:r>
      <w:r w:rsidR="00F05E70" w:rsidRPr="00586EC9">
        <w:rPr>
          <w:sz w:val="22"/>
          <w:szCs w:val="22"/>
        </w:rPr>
        <w:t>unijní úpravy při řešení a posuzování řady otázek v EU a mezi členskými státy. Například v oblasti základních práva a svobod. Posudek Soudního dvora EU o slučitelnosti návrhu dohody o přistoupení EU k EÚLP s primárním unijním právem je z tohoto hlediska jasným projevem unijního soudnictví tuto konkurenci limitovat ve prospěch práva unijního</w:t>
      </w:r>
      <w:r w:rsidR="00A2295F">
        <w:rPr>
          <w:sz w:val="22"/>
          <w:szCs w:val="22"/>
        </w:rPr>
        <w:t>.</w:t>
      </w:r>
    </w:p>
    <w:p w:rsidR="00A2295F" w:rsidRDefault="00A2295F" w:rsidP="00586EC9">
      <w:pPr>
        <w:keepNext/>
        <w:jc w:val="both"/>
        <w:rPr>
          <w:sz w:val="22"/>
          <w:szCs w:val="22"/>
        </w:rPr>
      </w:pPr>
    </w:p>
    <w:p w:rsidR="007D43C3" w:rsidRDefault="00A2295F" w:rsidP="00B75016">
      <w:pPr>
        <w:jc w:val="both"/>
        <w:rPr>
          <w:sz w:val="22"/>
          <w:szCs w:val="22"/>
        </w:rPr>
      </w:pPr>
      <w:r w:rsidRPr="00B75016">
        <w:rPr>
          <w:sz w:val="22"/>
          <w:szCs w:val="22"/>
        </w:rPr>
        <w:t xml:space="preserve">V přihlášce bylo jasně vymezeno postavení </w:t>
      </w:r>
      <w:r w:rsidRPr="00F62A17">
        <w:rPr>
          <w:b/>
          <w:sz w:val="22"/>
          <w:szCs w:val="22"/>
        </w:rPr>
        <w:t>právních transplantátů</w:t>
      </w:r>
      <w:r w:rsidRPr="00B75016">
        <w:rPr>
          <w:sz w:val="22"/>
          <w:szCs w:val="22"/>
        </w:rPr>
        <w:t xml:space="preserve"> jako předmětu vědeckého zkoumání.</w:t>
      </w:r>
      <w:r w:rsidR="007D43C3" w:rsidRPr="00B75016">
        <w:rPr>
          <w:sz w:val="22"/>
          <w:szCs w:val="22"/>
        </w:rPr>
        <w:t xml:space="preserve"> Řešitelský kolektiv vycházel z pojetí právního transplantátu tak, jako ho definoval v roce skotský komparatista </w:t>
      </w:r>
      <w:r w:rsidR="00B75016" w:rsidRPr="00B75016">
        <w:rPr>
          <w:sz w:val="22"/>
          <w:szCs w:val="22"/>
        </w:rPr>
        <w:t>Alan</w:t>
      </w:r>
      <w:r w:rsidR="007D43C3" w:rsidRPr="00B75016">
        <w:rPr>
          <w:sz w:val="22"/>
          <w:szCs w:val="22"/>
        </w:rPr>
        <w:t xml:space="preserve"> Watson</w:t>
      </w:r>
      <w:r w:rsidR="00B75016" w:rsidRPr="00B75016">
        <w:rPr>
          <w:sz w:val="22"/>
          <w:szCs w:val="22"/>
        </w:rPr>
        <w:t xml:space="preserve"> (v díle </w:t>
      </w:r>
      <w:r w:rsidR="00B75016" w:rsidRPr="00B75016">
        <w:rPr>
          <w:i/>
          <w:sz w:val="22"/>
          <w:szCs w:val="22"/>
        </w:rPr>
        <w:t>Legal Transplants: An Approach to Comparative Law</w:t>
      </w:r>
      <w:r w:rsidR="00B75016" w:rsidRPr="00B75016">
        <w:rPr>
          <w:sz w:val="22"/>
          <w:szCs w:val="22"/>
        </w:rPr>
        <w:t>. Edinburgh, 1974). Po</w:t>
      </w:r>
      <w:r w:rsidR="007D43C3" w:rsidRPr="00B75016">
        <w:rPr>
          <w:sz w:val="22"/>
          <w:szCs w:val="22"/>
        </w:rPr>
        <w:t xml:space="preserve">dle </w:t>
      </w:r>
      <w:r w:rsidR="00B75016" w:rsidRPr="00B75016">
        <w:rPr>
          <w:sz w:val="22"/>
          <w:szCs w:val="22"/>
        </w:rPr>
        <w:t>něj</w:t>
      </w:r>
      <w:r w:rsidR="007D43C3" w:rsidRPr="00B75016">
        <w:rPr>
          <w:sz w:val="22"/>
          <w:szCs w:val="22"/>
        </w:rPr>
        <w:t xml:space="preserve"> je většina právních systémů postavena na výpůjčkách z jiných právních systémů. Právní pravidla nebo celé právní systémy mohou být přenášeny z jednoho právního prostředí do jiného. Základním problém přitom vždy zůstává, do jaké míry jsou právní transplantáty pro přijímající právní prostředí vhodné. Zda v něm budou životaschopné. V opačném případě může právní transplantát buď odumřít, anebo posunout či změnit svůj původní obsah. Úspěšný právní transplantát, podobně jako transplantát v</w:t>
      </w:r>
      <w:r w:rsidR="007D43C3" w:rsidRPr="00B75016">
        <w:rPr>
          <w:i/>
          <w:sz w:val="22"/>
          <w:szCs w:val="22"/>
        </w:rPr>
        <w:t> </w:t>
      </w:r>
      <w:r w:rsidR="007D43C3" w:rsidRPr="00B75016">
        <w:rPr>
          <w:sz w:val="22"/>
          <w:szCs w:val="22"/>
        </w:rPr>
        <w:t>medicínském slova smyslu, se bude v novém organismu rozvíjet a</w:t>
      </w:r>
      <w:r w:rsidR="009A2042">
        <w:rPr>
          <w:sz w:val="22"/>
          <w:szCs w:val="22"/>
        </w:rPr>
        <w:t> </w:t>
      </w:r>
      <w:r w:rsidR="007D43C3" w:rsidRPr="00B75016">
        <w:rPr>
          <w:sz w:val="22"/>
          <w:szCs w:val="22"/>
        </w:rPr>
        <w:t xml:space="preserve">přispívat k jeho všestrannému a náležitému fungování. Italský komparatista Rodolfo Sacco </w:t>
      </w:r>
      <w:r w:rsidR="00B75016" w:rsidRPr="00B75016">
        <w:rPr>
          <w:sz w:val="22"/>
          <w:szCs w:val="22"/>
        </w:rPr>
        <w:t xml:space="preserve">(v díle </w:t>
      </w:r>
      <w:r w:rsidR="00B75016" w:rsidRPr="00B75016">
        <w:rPr>
          <w:i/>
          <w:sz w:val="22"/>
          <w:szCs w:val="22"/>
        </w:rPr>
        <w:t>Sistemi giuridici comparati</w:t>
      </w:r>
      <w:r w:rsidR="00B75016" w:rsidRPr="00B75016">
        <w:rPr>
          <w:sz w:val="22"/>
          <w:szCs w:val="22"/>
        </w:rPr>
        <w:t xml:space="preserve">. Turin, 1996) </w:t>
      </w:r>
      <w:r w:rsidR="007D43C3" w:rsidRPr="00B75016">
        <w:rPr>
          <w:sz w:val="22"/>
          <w:szCs w:val="22"/>
        </w:rPr>
        <w:t>rozlišuje dvě kategorie transplantace práva, a to vnucení a</w:t>
      </w:r>
      <w:r w:rsidR="009A2042">
        <w:rPr>
          <w:sz w:val="22"/>
          <w:szCs w:val="22"/>
        </w:rPr>
        <w:t> </w:t>
      </w:r>
      <w:r w:rsidR="007D43C3" w:rsidRPr="00B75016">
        <w:rPr>
          <w:sz w:val="22"/>
          <w:szCs w:val="22"/>
        </w:rPr>
        <w:t xml:space="preserve">prestiž. Ta druhá podle něj často obsahuje i jistý podíl „kutilství“, kdy se právní transplantáty přejímají tak, jak přicházejí pod ruku, bez zevrubné analýzy právního prostředí dárce, jednotlivých souvislostí a návazností. </w:t>
      </w:r>
      <w:r w:rsidR="00B75016">
        <w:rPr>
          <w:sz w:val="22"/>
          <w:szCs w:val="22"/>
        </w:rPr>
        <w:t xml:space="preserve">Většina právních transplantátů v oblasti veřejného práva pochází z práva unijního, která by se dala označit v podstatě za vnucenou, protože nedostatek transpozice unijní normy může ve svém důsledku vést až k žalobě na členský stát pro porušení unijního práva. </w:t>
      </w:r>
      <w:r w:rsidR="008045A7">
        <w:rPr>
          <w:sz w:val="22"/>
          <w:szCs w:val="22"/>
        </w:rPr>
        <w:t>Brát transpozici unijního práva jako prestiž bylo „v módě“ před vstupem do EU a ještě pár let poté. Nyní jsme se v tomto ohledu dostali na běžnou úroveň „starých členských stát</w:t>
      </w:r>
      <w:r w:rsidR="009A2042">
        <w:rPr>
          <w:sz w:val="22"/>
          <w:szCs w:val="22"/>
        </w:rPr>
        <w:t>ů</w:t>
      </w:r>
      <w:r w:rsidR="008045A7">
        <w:rPr>
          <w:sz w:val="22"/>
          <w:szCs w:val="22"/>
        </w:rPr>
        <w:t xml:space="preserve">“. Jako prestižní transplantaci vidíme spíše přejímání transplantátů z práva amerického. </w:t>
      </w:r>
      <w:r w:rsidR="00A32B1E">
        <w:rPr>
          <w:sz w:val="22"/>
          <w:szCs w:val="22"/>
        </w:rPr>
        <w:t xml:space="preserve">V obou případech byla věnována značná pozornost fenoménu „kutilství“. </w:t>
      </w:r>
      <w:r w:rsidR="00C8351B">
        <w:rPr>
          <w:sz w:val="22"/>
          <w:szCs w:val="22"/>
        </w:rPr>
        <w:t xml:space="preserve">Ve vztahu k evropskému právu budiž citován příklad tzv. </w:t>
      </w:r>
      <w:r w:rsidR="00C8351B" w:rsidRPr="00960A34">
        <w:rPr>
          <w:i/>
          <w:sz w:val="22"/>
          <w:szCs w:val="22"/>
        </w:rPr>
        <w:t>„gold-platingu“</w:t>
      </w:r>
      <w:r w:rsidR="00C8351B">
        <w:rPr>
          <w:sz w:val="22"/>
          <w:szCs w:val="22"/>
        </w:rPr>
        <w:t xml:space="preserve">, neboli zbytečně zatěžující transpozice směrnic EU. Ve vztahu k americkému právu aktivistické přejímání institutů, které jsou typické pro systém </w:t>
      </w:r>
      <w:r w:rsidR="00C8351B">
        <w:rPr>
          <w:i/>
          <w:sz w:val="22"/>
          <w:szCs w:val="22"/>
        </w:rPr>
        <w:t>„common law“</w:t>
      </w:r>
      <w:r w:rsidR="00C8351B">
        <w:rPr>
          <w:sz w:val="22"/>
          <w:szCs w:val="22"/>
        </w:rPr>
        <w:t xml:space="preserve"> a pro systém kontinentálního práva se jeví jako neústrojné. </w:t>
      </w:r>
    </w:p>
    <w:p w:rsidR="00B07BCD" w:rsidRDefault="00B07BCD" w:rsidP="00B75016">
      <w:pPr>
        <w:jc w:val="both"/>
        <w:rPr>
          <w:sz w:val="22"/>
          <w:szCs w:val="22"/>
        </w:rPr>
      </w:pPr>
    </w:p>
    <w:p w:rsidR="00B07BCD" w:rsidRDefault="007B6068" w:rsidP="00BE029A">
      <w:pPr>
        <w:jc w:val="both"/>
        <w:rPr>
          <w:sz w:val="22"/>
          <w:szCs w:val="22"/>
          <w:shd w:val="clear" w:color="auto" w:fill="FFFFFF"/>
        </w:rPr>
      </w:pPr>
      <w:r>
        <w:rPr>
          <w:sz w:val="22"/>
          <w:szCs w:val="22"/>
        </w:rPr>
        <w:t>Shrnující názorem, který bude podkladem pro vystoupení a diskusi členů řešitelského kolektivu na konferenci o vztahu veřejného a soukromého práva v říjnu 2016</w:t>
      </w:r>
      <w:r w:rsidR="009A2042">
        <w:rPr>
          <w:sz w:val="22"/>
          <w:szCs w:val="22"/>
        </w:rPr>
        <w:t>,</w:t>
      </w:r>
      <w:r>
        <w:rPr>
          <w:sz w:val="22"/>
          <w:szCs w:val="22"/>
        </w:rPr>
        <w:t xml:space="preserve"> je, že </w:t>
      </w:r>
      <w:r w:rsidRPr="00F62A17">
        <w:rPr>
          <w:b/>
          <w:sz w:val="22"/>
          <w:szCs w:val="22"/>
        </w:rPr>
        <w:t>dualismus soukromého a</w:t>
      </w:r>
      <w:r w:rsidR="009A2042">
        <w:rPr>
          <w:b/>
          <w:sz w:val="22"/>
          <w:szCs w:val="22"/>
        </w:rPr>
        <w:t> </w:t>
      </w:r>
      <w:r w:rsidRPr="00F62A17">
        <w:rPr>
          <w:b/>
          <w:sz w:val="22"/>
          <w:szCs w:val="22"/>
        </w:rPr>
        <w:t>veřejného práva je čím dále tím více relativizován</w:t>
      </w:r>
      <w:r>
        <w:rPr>
          <w:sz w:val="22"/>
          <w:szCs w:val="22"/>
        </w:rPr>
        <w:t>.</w:t>
      </w:r>
      <w:r w:rsidR="00BE029A">
        <w:rPr>
          <w:sz w:val="22"/>
          <w:szCs w:val="22"/>
        </w:rPr>
        <w:t xml:space="preserve"> </w:t>
      </w:r>
      <w:r w:rsidR="00BE029A" w:rsidRPr="00BE029A">
        <w:rPr>
          <w:sz w:val="22"/>
          <w:szCs w:val="22"/>
        </w:rPr>
        <w:t xml:space="preserve">Typickým příkladem je </w:t>
      </w:r>
      <w:r w:rsidR="00BE029A" w:rsidRPr="00BE029A">
        <w:rPr>
          <w:sz w:val="22"/>
          <w:szCs w:val="22"/>
          <w:shd w:val="clear" w:color="auto" w:fill="FFFFFF"/>
        </w:rPr>
        <w:t>dnes tolik diskutovaná migrace (volný pohyb</w:t>
      </w:r>
      <w:r w:rsidR="00BE029A">
        <w:rPr>
          <w:sz w:val="22"/>
          <w:szCs w:val="22"/>
          <w:shd w:val="clear" w:color="auto" w:fill="FFFFFF"/>
        </w:rPr>
        <w:t xml:space="preserve"> </w:t>
      </w:r>
      <w:r w:rsidR="00BE029A" w:rsidRPr="00BE029A">
        <w:rPr>
          <w:sz w:val="22"/>
          <w:szCs w:val="22"/>
          <w:shd w:val="clear" w:color="auto" w:fill="FFFFFF"/>
        </w:rPr>
        <w:t>osob</w:t>
      </w:r>
      <w:r w:rsidR="00BE029A">
        <w:rPr>
          <w:sz w:val="22"/>
          <w:szCs w:val="22"/>
          <w:shd w:val="clear" w:color="auto" w:fill="FFFFFF"/>
        </w:rPr>
        <w:t>). V</w:t>
      </w:r>
      <w:r w:rsidR="00BE029A" w:rsidRPr="00BE029A">
        <w:rPr>
          <w:sz w:val="22"/>
          <w:szCs w:val="22"/>
          <w:shd w:val="clear" w:color="auto" w:fill="FFFFFF"/>
        </w:rPr>
        <w:t xml:space="preserve"> globálním i v evropském měřítku je často liberálně a tolerantně</w:t>
      </w:r>
      <w:r w:rsidR="00BE029A">
        <w:rPr>
          <w:sz w:val="22"/>
          <w:szCs w:val="22"/>
          <w:shd w:val="clear" w:color="auto" w:fill="FFFFFF"/>
        </w:rPr>
        <w:t xml:space="preserve"> </w:t>
      </w:r>
      <w:r w:rsidR="00BE029A" w:rsidRPr="00BE029A">
        <w:rPr>
          <w:sz w:val="22"/>
          <w:szCs w:val="22"/>
          <w:shd w:val="clear" w:color="auto" w:fill="FFFFFF"/>
        </w:rPr>
        <w:t>nazírán z hlediska osobní svobody a toho, co je typické pro soukromoprávní</w:t>
      </w:r>
      <w:r w:rsidR="00BE029A">
        <w:rPr>
          <w:sz w:val="22"/>
          <w:szCs w:val="22"/>
          <w:shd w:val="clear" w:color="auto" w:fill="FFFFFF"/>
        </w:rPr>
        <w:t xml:space="preserve"> </w:t>
      </w:r>
      <w:r w:rsidR="00BE029A" w:rsidRPr="00BE029A">
        <w:rPr>
          <w:sz w:val="22"/>
          <w:szCs w:val="22"/>
          <w:shd w:val="clear" w:color="auto" w:fill="FFFFFF"/>
        </w:rPr>
        <w:t>pojetí osobních práv, což však neladí s požadavky veřejného pořádku</w:t>
      </w:r>
      <w:r w:rsidR="00BE029A">
        <w:rPr>
          <w:sz w:val="22"/>
          <w:szCs w:val="22"/>
          <w:shd w:val="clear" w:color="auto" w:fill="FFFFFF"/>
        </w:rPr>
        <w:t>.</w:t>
      </w:r>
      <w:r w:rsidR="00BE029A" w:rsidRPr="00BE029A">
        <w:rPr>
          <w:sz w:val="22"/>
          <w:szCs w:val="22"/>
          <w:shd w:val="clear" w:color="auto" w:fill="FFFFFF"/>
        </w:rPr>
        <w:t xml:space="preserve"> </w:t>
      </w:r>
      <w:r w:rsidR="00BE029A">
        <w:rPr>
          <w:sz w:val="22"/>
          <w:szCs w:val="22"/>
          <w:shd w:val="clear" w:color="auto" w:fill="FFFFFF"/>
        </w:rPr>
        <w:t>S</w:t>
      </w:r>
      <w:r w:rsidR="00BE029A" w:rsidRPr="00BE029A">
        <w:rPr>
          <w:sz w:val="22"/>
          <w:szCs w:val="22"/>
          <w:shd w:val="clear" w:color="auto" w:fill="FFFFFF"/>
        </w:rPr>
        <w:t xml:space="preserve">poléhá se </w:t>
      </w:r>
      <w:r w:rsidR="00BE029A">
        <w:rPr>
          <w:sz w:val="22"/>
          <w:szCs w:val="22"/>
          <w:shd w:val="clear" w:color="auto" w:fill="FFFFFF"/>
        </w:rPr>
        <w:t xml:space="preserve">tedy </w:t>
      </w:r>
      <w:r w:rsidR="00BE029A" w:rsidRPr="00BE029A">
        <w:rPr>
          <w:sz w:val="22"/>
          <w:szCs w:val="22"/>
          <w:shd w:val="clear" w:color="auto" w:fill="FFFFFF"/>
        </w:rPr>
        <w:t>na spontánní vyřešení problémů, které však může mít následky,</w:t>
      </w:r>
      <w:r w:rsidR="00BE029A">
        <w:rPr>
          <w:sz w:val="22"/>
          <w:szCs w:val="22"/>
          <w:shd w:val="clear" w:color="auto" w:fill="FFFFFF"/>
        </w:rPr>
        <w:t xml:space="preserve"> </w:t>
      </w:r>
      <w:r w:rsidR="00BE029A" w:rsidRPr="00BE029A">
        <w:rPr>
          <w:sz w:val="22"/>
          <w:szCs w:val="22"/>
          <w:shd w:val="clear" w:color="auto" w:fill="FFFFFF"/>
        </w:rPr>
        <w:t xml:space="preserve">které si stále </w:t>
      </w:r>
      <w:r w:rsidR="00BE029A">
        <w:rPr>
          <w:sz w:val="22"/>
          <w:szCs w:val="22"/>
          <w:shd w:val="clear" w:color="auto" w:fill="FFFFFF"/>
        </w:rPr>
        <w:t>p</w:t>
      </w:r>
      <w:r w:rsidR="00BE029A" w:rsidRPr="00BE029A">
        <w:rPr>
          <w:sz w:val="22"/>
          <w:szCs w:val="22"/>
          <w:shd w:val="clear" w:color="auto" w:fill="FFFFFF"/>
        </w:rPr>
        <w:t>řesně neumíme představit. Světem totální f</w:t>
      </w:r>
      <w:r w:rsidR="00CD4A89">
        <w:rPr>
          <w:sz w:val="22"/>
          <w:szCs w:val="22"/>
          <w:shd w:val="clear" w:color="auto" w:fill="FFFFFF"/>
        </w:rPr>
        <w:t>ú</w:t>
      </w:r>
      <w:r w:rsidR="00BE029A" w:rsidRPr="00BE029A">
        <w:rPr>
          <w:sz w:val="22"/>
          <w:szCs w:val="22"/>
          <w:shd w:val="clear" w:color="auto" w:fill="FFFFFF"/>
        </w:rPr>
        <w:t>ze veřejného a</w:t>
      </w:r>
      <w:r w:rsidR="00CD4A89">
        <w:rPr>
          <w:sz w:val="22"/>
          <w:szCs w:val="22"/>
          <w:shd w:val="clear" w:color="auto" w:fill="FFFFFF"/>
        </w:rPr>
        <w:t> </w:t>
      </w:r>
      <w:r w:rsidR="00BE029A" w:rsidRPr="00BE029A">
        <w:rPr>
          <w:sz w:val="22"/>
          <w:szCs w:val="22"/>
          <w:shd w:val="clear" w:color="auto" w:fill="FFFFFF"/>
        </w:rPr>
        <w:t xml:space="preserve">soukromého práva jsou </w:t>
      </w:r>
      <w:r w:rsidR="00BE029A">
        <w:rPr>
          <w:sz w:val="22"/>
          <w:szCs w:val="22"/>
          <w:shd w:val="clear" w:color="auto" w:fill="FFFFFF"/>
        </w:rPr>
        <w:t>pak regulace obchodních praktik.</w:t>
      </w:r>
    </w:p>
    <w:p w:rsidR="00552C35" w:rsidRDefault="00552C35" w:rsidP="00BE029A">
      <w:pPr>
        <w:jc w:val="both"/>
        <w:rPr>
          <w:sz w:val="22"/>
          <w:szCs w:val="22"/>
          <w:shd w:val="clear" w:color="auto" w:fill="FFFFFF"/>
        </w:rPr>
      </w:pPr>
    </w:p>
    <w:p w:rsidR="00552C35" w:rsidRPr="00504613" w:rsidRDefault="00552C35" w:rsidP="00552C35">
      <w:pPr>
        <w:keepNext/>
        <w:jc w:val="both"/>
        <w:rPr>
          <w:sz w:val="22"/>
          <w:szCs w:val="22"/>
        </w:rPr>
      </w:pPr>
      <w:r w:rsidRPr="00504613">
        <w:rPr>
          <w:sz w:val="22"/>
          <w:szCs w:val="22"/>
        </w:rPr>
        <w:t xml:space="preserve">V oblasti </w:t>
      </w:r>
      <w:r w:rsidRPr="00504613">
        <w:rPr>
          <w:b/>
          <w:sz w:val="22"/>
          <w:szCs w:val="22"/>
        </w:rPr>
        <w:t xml:space="preserve">sociálního zabezpečení </w:t>
      </w:r>
      <w:r w:rsidRPr="00504613">
        <w:rPr>
          <w:sz w:val="22"/>
          <w:szCs w:val="22"/>
        </w:rPr>
        <w:t>se výzkum soustředil na vývojové tendence sociálního zabezpečení v ČR na počátku 21. století, zejména prolomení dosud národní, uzavřené povahy subsystémů zdravotního pojištění, nemocenského pojištění a důchodového pojištění, jakož i forem státního zaopatření, státní sociální po</w:t>
      </w:r>
      <w:r>
        <w:rPr>
          <w:sz w:val="22"/>
          <w:szCs w:val="22"/>
        </w:rPr>
        <w:t>dpory a sociální pomoci, analýzu</w:t>
      </w:r>
      <w:r w:rsidRPr="00504613">
        <w:rPr>
          <w:sz w:val="22"/>
          <w:szCs w:val="22"/>
        </w:rPr>
        <w:t xml:space="preserve"> koncepce sociální pojišťovny a</w:t>
      </w:r>
      <w:r w:rsidR="00CD4A89">
        <w:rPr>
          <w:sz w:val="22"/>
          <w:szCs w:val="22"/>
        </w:rPr>
        <w:t> </w:t>
      </w:r>
      <w:r w:rsidRPr="00504613">
        <w:rPr>
          <w:sz w:val="22"/>
          <w:szCs w:val="22"/>
        </w:rPr>
        <w:t>opětného oživení subsystému sociáln</w:t>
      </w:r>
      <w:r>
        <w:rPr>
          <w:sz w:val="22"/>
          <w:szCs w:val="22"/>
        </w:rPr>
        <w:t>ího úrazového pojištění, analýzu</w:t>
      </w:r>
      <w:r w:rsidRPr="00504613">
        <w:rPr>
          <w:sz w:val="22"/>
          <w:szCs w:val="22"/>
        </w:rPr>
        <w:t xml:space="preserve"> základních principů koordinace sociálního zabezpečení v EU a jejich aplikace v kontextu důsledků evropské sociální agendy a otevřené metody koordinace</w:t>
      </w:r>
      <w:r w:rsidRPr="00504613">
        <w:rPr>
          <w:caps/>
          <w:sz w:val="22"/>
          <w:szCs w:val="22"/>
        </w:rPr>
        <w:t xml:space="preserve"> (</w:t>
      </w:r>
      <w:r w:rsidRPr="00504613">
        <w:rPr>
          <w:sz w:val="22"/>
          <w:szCs w:val="22"/>
        </w:rPr>
        <w:t xml:space="preserve">zejména sociální zabezpečení osob migrujících mezi státy </w:t>
      </w:r>
      <w:r w:rsidR="00CD4A89">
        <w:rPr>
          <w:sz w:val="22"/>
          <w:szCs w:val="22"/>
        </w:rPr>
        <w:lastRenderedPageBreak/>
        <w:t>E</w:t>
      </w:r>
      <w:r w:rsidRPr="00504613">
        <w:rPr>
          <w:sz w:val="22"/>
          <w:szCs w:val="22"/>
        </w:rPr>
        <w:t>vropské unie nebo otázky rovnosti mezi muži a ženami v sociálněprávních souvislostech</w:t>
      </w:r>
      <w:r w:rsidRPr="00504613">
        <w:rPr>
          <w:caps/>
          <w:sz w:val="22"/>
          <w:szCs w:val="22"/>
        </w:rPr>
        <w:t xml:space="preserve">) </w:t>
      </w:r>
      <w:r>
        <w:rPr>
          <w:sz w:val="22"/>
          <w:szCs w:val="22"/>
        </w:rPr>
        <w:t>a analýzu</w:t>
      </w:r>
      <w:r w:rsidRPr="00504613">
        <w:rPr>
          <w:sz w:val="22"/>
          <w:szCs w:val="22"/>
        </w:rPr>
        <w:t xml:space="preserve"> sociálních</w:t>
      </w:r>
      <w:r w:rsidRPr="00504613">
        <w:rPr>
          <w:caps/>
          <w:sz w:val="22"/>
          <w:szCs w:val="22"/>
        </w:rPr>
        <w:t xml:space="preserve"> </w:t>
      </w:r>
      <w:r w:rsidRPr="00504613">
        <w:rPr>
          <w:sz w:val="22"/>
          <w:szCs w:val="22"/>
        </w:rPr>
        <w:t>služeb a sociální pomoci osobám zdravotně postiženým a sociální ochrany nezaměstnaných osob, včetně základních kritérií sociální spravedlnosti (principu zásluhovosti a principu sociálních potřeb). Dále byl výzkum zaměřen na sociální ochranu osob v právem uznaných sociálních situacích a</w:t>
      </w:r>
      <w:r w:rsidR="00CD4A89">
        <w:rPr>
          <w:sz w:val="22"/>
          <w:szCs w:val="22"/>
        </w:rPr>
        <w:t> </w:t>
      </w:r>
      <w:r w:rsidRPr="00504613">
        <w:rPr>
          <w:sz w:val="22"/>
          <w:szCs w:val="22"/>
        </w:rPr>
        <w:t xml:space="preserve">její hlavní problémy, též sociální práva z pohledu občanství Evropské unie a koordinace sociálního zabezpečení pro občany EU a občany třetích států. </w:t>
      </w:r>
    </w:p>
    <w:p w:rsidR="00B07BCD" w:rsidRDefault="00B07BCD" w:rsidP="00BE029A">
      <w:pPr>
        <w:jc w:val="both"/>
        <w:rPr>
          <w:sz w:val="22"/>
          <w:szCs w:val="22"/>
          <w:shd w:val="clear" w:color="auto" w:fill="FFFFFF"/>
        </w:rPr>
      </w:pPr>
    </w:p>
    <w:p w:rsidR="00B07BCD" w:rsidRPr="00F33CB8" w:rsidRDefault="00B07BCD" w:rsidP="00B07BCD">
      <w:pPr>
        <w:jc w:val="both"/>
        <w:rPr>
          <w:sz w:val="22"/>
          <w:szCs w:val="22"/>
        </w:rPr>
      </w:pPr>
      <w:r w:rsidRPr="00F33CB8">
        <w:rPr>
          <w:sz w:val="22"/>
          <w:szCs w:val="22"/>
          <w:shd w:val="clear" w:color="auto" w:fill="FFFFFF"/>
        </w:rPr>
        <w:t>Postavení právních transplantátů v </w:t>
      </w:r>
      <w:r w:rsidRPr="00F33CB8">
        <w:rPr>
          <w:b/>
          <w:sz w:val="22"/>
          <w:szCs w:val="22"/>
          <w:shd w:val="clear" w:color="auto" w:fill="FFFFFF"/>
        </w:rPr>
        <w:t>oblasti trestního práva</w:t>
      </w:r>
      <w:r w:rsidRPr="00F33CB8">
        <w:rPr>
          <w:sz w:val="22"/>
          <w:szCs w:val="22"/>
          <w:shd w:val="clear" w:color="auto" w:fill="FFFFFF"/>
        </w:rPr>
        <w:t xml:space="preserve"> se soustředilo na dva základní okruhy. Za prvé na otázky p</w:t>
      </w:r>
      <w:r w:rsidRPr="00F33CB8">
        <w:rPr>
          <w:sz w:val="22"/>
          <w:szCs w:val="22"/>
        </w:rPr>
        <w:t>ostavení poškozeného a oběti trestného činu v trestním řízení, kde bylo analyzováno nejen zdokonalení právní úpravy postavení poškozeného v českém trestním řízení v souvislosti s připravovanou rekodifikací trestního práva procesního, ale zejména byl proveden rozbor zákona č.</w:t>
      </w:r>
      <w:r w:rsidR="00CD4A89" w:rsidRPr="00F33CB8">
        <w:rPr>
          <w:sz w:val="22"/>
          <w:szCs w:val="22"/>
        </w:rPr>
        <w:t> </w:t>
      </w:r>
      <w:r w:rsidRPr="00F33CB8">
        <w:rPr>
          <w:sz w:val="22"/>
          <w:szCs w:val="22"/>
        </w:rPr>
        <w:t>45/2013 Sb., o obětech trestných činů, který implementuje závazky vyplývající pro Českou republiku z dokumentů přijatých k podpoře obětí trestných činů na úrovni evropské legislativy. Výstupem byla zejména vědecká konference, která se konala v září 2012 a která byla organizována PF</w:t>
      </w:r>
      <w:r w:rsidR="00CD4A89" w:rsidRPr="00F33CB8">
        <w:rPr>
          <w:sz w:val="22"/>
          <w:szCs w:val="22"/>
        </w:rPr>
        <w:t> </w:t>
      </w:r>
      <w:r w:rsidRPr="00F33CB8">
        <w:rPr>
          <w:sz w:val="22"/>
          <w:szCs w:val="22"/>
        </w:rPr>
        <w:t xml:space="preserve">UK spolu s Českou kriminologickou společností. Významný výstup: Kolektivní monografie Jelínek, J., Gřivna, T. a kol.:  </w:t>
      </w:r>
      <w:r w:rsidRPr="00F33CB8">
        <w:rPr>
          <w:i/>
          <w:sz w:val="22"/>
          <w:szCs w:val="22"/>
        </w:rPr>
        <w:t>Poškozený a oběť trestného činu z trestněprávního a kriminologického pohledu</w:t>
      </w:r>
      <w:r w:rsidR="00CD4A89" w:rsidRPr="00F33CB8">
        <w:rPr>
          <w:i/>
          <w:sz w:val="22"/>
          <w:szCs w:val="22"/>
        </w:rPr>
        <w:t>.</w:t>
      </w:r>
      <w:r w:rsidRPr="00F33CB8">
        <w:rPr>
          <w:sz w:val="22"/>
          <w:szCs w:val="22"/>
        </w:rPr>
        <w:t xml:space="preserve"> Leges, </w:t>
      </w:r>
      <w:r w:rsidR="00CD4A89" w:rsidRPr="00F33CB8">
        <w:rPr>
          <w:sz w:val="22"/>
          <w:szCs w:val="22"/>
        </w:rPr>
        <w:t xml:space="preserve">Praha </w:t>
      </w:r>
      <w:r w:rsidRPr="00F33CB8">
        <w:rPr>
          <w:sz w:val="22"/>
          <w:szCs w:val="22"/>
        </w:rPr>
        <w:t>2012. V této výzkumné činnosti příslušní pracovníci pokračovali i v letech 2013</w:t>
      </w:r>
      <w:r w:rsidR="00EA6737" w:rsidRPr="00F33CB8">
        <w:rPr>
          <w:sz w:val="22"/>
          <w:szCs w:val="22"/>
        </w:rPr>
        <w:t>–</w:t>
      </w:r>
      <w:r w:rsidRPr="00F33CB8">
        <w:rPr>
          <w:sz w:val="22"/>
          <w:szCs w:val="22"/>
        </w:rPr>
        <w:t xml:space="preserve">2015. Za druhé byl podrobně zkoumán vztah evropského práva a práva trestního zejména na pozadí otázky existence a podoby tzv. evropského trestního práva a trestního práva Evropské unie. </w:t>
      </w:r>
      <w:r w:rsidR="00F33CB8" w:rsidRPr="00F33CB8">
        <w:rPr>
          <w:sz w:val="22"/>
          <w:szCs w:val="22"/>
        </w:rPr>
        <w:t xml:space="preserve">Výstupem byla jedna kolektivní monografie </w:t>
      </w:r>
      <w:r w:rsidR="00F33CB8" w:rsidRPr="00F33CB8">
        <w:rPr>
          <w:i/>
          <w:sz w:val="22"/>
          <w:szCs w:val="22"/>
        </w:rPr>
        <w:t>Trestní právo Evropské unie</w:t>
      </w:r>
      <w:r w:rsidR="00F33CB8" w:rsidRPr="00F33CB8">
        <w:rPr>
          <w:sz w:val="22"/>
          <w:szCs w:val="22"/>
        </w:rPr>
        <w:t xml:space="preserve"> (Praha, Leges 2014), kolektivní monografie Jelínek, J., Ivor, J., a kol.: </w:t>
      </w:r>
      <w:r w:rsidR="00F33CB8" w:rsidRPr="00F33CB8">
        <w:rPr>
          <w:i/>
          <w:sz w:val="22"/>
          <w:szCs w:val="22"/>
        </w:rPr>
        <w:t>Trestní právo Evropské unie a jeho vliv na právní řád České republiky a Slovenské republiky</w:t>
      </w:r>
      <w:r w:rsidR="00F33CB8" w:rsidRPr="00F33CB8">
        <w:rPr>
          <w:sz w:val="22"/>
          <w:szCs w:val="22"/>
        </w:rPr>
        <w:t xml:space="preserve">. Praha: Leges 2015, a nakonec i cizojazyčná monografie Ivor, J., Jelínek, J. et al.: </w:t>
      </w:r>
      <w:r w:rsidR="00F33CB8" w:rsidRPr="00F33CB8">
        <w:rPr>
          <w:i/>
          <w:sz w:val="22"/>
          <w:szCs w:val="22"/>
        </w:rPr>
        <w:t>Euro Crimes in the Legal Systems of the Czech Republic and of the Slovak Republic</w:t>
      </w:r>
      <w:r w:rsidR="00F33CB8" w:rsidRPr="00F33CB8">
        <w:rPr>
          <w:sz w:val="22"/>
          <w:szCs w:val="22"/>
        </w:rPr>
        <w:t>, Budapest: Wolters Kluwer, 2015).</w:t>
      </w:r>
    </w:p>
    <w:p w:rsidR="001D6F4F" w:rsidRDefault="001D6F4F" w:rsidP="00B07BCD">
      <w:pPr>
        <w:jc w:val="both"/>
        <w:rPr>
          <w:sz w:val="22"/>
          <w:szCs w:val="22"/>
        </w:rPr>
      </w:pPr>
    </w:p>
    <w:p w:rsidR="00AA6C21" w:rsidRDefault="001D6F4F" w:rsidP="004832A7">
      <w:pPr>
        <w:jc w:val="both"/>
        <w:rPr>
          <w:bCs/>
          <w:sz w:val="22"/>
          <w:szCs w:val="22"/>
          <w:lang w:bidi="he-IL"/>
        </w:rPr>
      </w:pPr>
      <w:r w:rsidRPr="00504613">
        <w:rPr>
          <w:bCs/>
          <w:sz w:val="22"/>
          <w:szCs w:val="22"/>
        </w:rPr>
        <w:t xml:space="preserve">Rovněž v oblasti </w:t>
      </w:r>
      <w:r w:rsidRPr="00504613">
        <w:rPr>
          <w:b/>
          <w:bCs/>
          <w:sz w:val="22"/>
          <w:szCs w:val="22"/>
        </w:rPr>
        <w:t>ochrany životního prostředí</w:t>
      </w:r>
      <w:r w:rsidRPr="00504613">
        <w:rPr>
          <w:bCs/>
          <w:sz w:val="22"/>
          <w:szCs w:val="22"/>
        </w:rPr>
        <w:t xml:space="preserve"> ve vztahu k evropskému právu bylo cílem analyzovat vytipované právní transplantáty nejen na zkušenostech vybraných právních úprav, ale také v rámci úpravy sekundárního práva unijního.</w:t>
      </w:r>
      <w:r w:rsidRPr="001D6F4F">
        <w:rPr>
          <w:bCs/>
          <w:sz w:val="22"/>
          <w:szCs w:val="22"/>
          <w:lang w:bidi="he-IL"/>
        </w:rPr>
        <w:t xml:space="preserve"> </w:t>
      </w:r>
      <w:r w:rsidRPr="0064755F">
        <w:rPr>
          <w:bCs/>
          <w:sz w:val="22"/>
          <w:szCs w:val="22"/>
          <w:lang w:bidi="he-IL"/>
        </w:rPr>
        <w:t>Autorský kolektiv pokračoval ve snaze zasadit úsek práva ochrany životního prostředí jak do širší problematiky stavu a trendů vývoje českého veřejného práva, tak ale tyto provázat i na problematiku soukromoprávní. Výzkum a jeho zaměření byl</w:t>
      </w:r>
      <w:r w:rsidR="00EA6737">
        <w:rPr>
          <w:bCs/>
          <w:sz w:val="22"/>
          <w:szCs w:val="22"/>
          <w:lang w:bidi="he-IL"/>
        </w:rPr>
        <w:t>y</w:t>
      </w:r>
      <w:r w:rsidRPr="0064755F">
        <w:rPr>
          <w:bCs/>
          <w:sz w:val="22"/>
          <w:szCs w:val="22"/>
          <w:lang w:bidi="he-IL"/>
        </w:rPr>
        <w:t xml:space="preserve"> pojat</w:t>
      </w:r>
      <w:r w:rsidR="00EA6737">
        <w:rPr>
          <w:bCs/>
          <w:sz w:val="22"/>
          <w:szCs w:val="22"/>
          <w:lang w:bidi="he-IL"/>
        </w:rPr>
        <w:t>y</w:t>
      </w:r>
      <w:r w:rsidRPr="0064755F">
        <w:rPr>
          <w:bCs/>
          <w:sz w:val="22"/>
          <w:szCs w:val="22"/>
          <w:lang w:bidi="he-IL"/>
        </w:rPr>
        <w:t xml:space="preserve"> značně mezioborově (uvnitř i vně práva). Zájem byl věnován výzkumu, popisu a analýze dosaženého stavu právní úpravy i aplikační praxe, a to nejen v ČR, ale i v mezinárodním kontextu (zejména Polsko, Německo, Rakousko, Francie, Španělsko). Pozornost byla dále věnována vymezování postavení vlastníků a podnikatelů při ochraně životního prostředí, jejich práv a povinností a nástrojů k jejich vynucování či aplikování (prostředky administrativní, ekonomické, koncepční a sankční). Složkově pak byly hlavním předmětem zájmu výzkumu problematiky ochrany půdy, ovzduší, klimatu, vody, přírody a krajiny, mořské biodiverzity. Samostatný úsek výzkumu byl zaměřen na oblast zemědělského práva, tradiční podoblast práva životního prostředí.</w:t>
      </w:r>
      <w:r>
        <w:rPr>
          <w:bCs/>
          <w:sz w:val="22"/>
          <w:szCs w:val="22"/>
          <w:lang w:bidi="he-IL"/>
        </w:rPr>
        <w:t xml:space="preserve"> </w:t>
      </w:r>
      <w:r w:rsidRPr="0064755F">
        <w:rPr>
          <w:bCs/>
          <w:sz w:val="22"/>
          <w:szCs w:val="22"/>
          <w:lang w:bidi="he-IL"/>
        </w:rPr>
        <w:t xml:space="preserve"> </w:t>
      </w:r>
    </w:p>
    <w:p w:rsidR="001D6F4F" w:rsidRDefault="001D6F4F" w:rsidP="00FC6ABC">
      <w:pPr>
        <w:jc w:val="both"/>
        <w:rPr>
          <w:sz w:val="22"/>
          <w:szCs w:val="22"/>
        </w:rPr>
      </w:pPr>
    </w:p>
    <w:p w:rsidR="00FC6ABC" w:rsidRDefault="00FC6ABC" w:rsidP="00FC6ABC">
      <w:pPr>
        <w:pStyle w:val="Bn"/>
        <w:spacing w:after="0"/>
        <w:ind w:firstLine="3"/>
        <w:rPr>
          <w:sz w:val="22"/>
          <w:szCs w:val="22"/>
        </w:rPr>
      </w:pPr>
      <w:r w:rsidRPr="00E72AEF">
        <w:rPr>
          <w:sz w:val="22"/>
          <w:szCs w:val="22"/>
        </w:rPr>
        <w:t xml:space="preserve">Posuzování právních transplantátů v oblasti </w:t>
      </w:r>
      <w:r w:rsidRPr="008B4688">
        <w:rPr>
          <w:b/>
          <w:sz w:val="22"/>
          <w:szCs w:val="22"/>
        </w:rPr>
        <w:t xml:space="preserve">finančního práva a </w:t>
      </w:r>
      <w:r w:rsidRPr="00C02C2C">
        <w:rPr>
          <w:b/>
          <w:sz w:val="22"/>
          <w:szCs w:val="22"/>
        </w:rPr>
        <w:t>finanční vědy</w:t>
      </w:r>
      <w:r w:rsidRPr="00E72AEF">
        <w:rPr>
          <w:sz w:val="22"/>
          <w:szCs w:val="22"/>
        </w:rPr>
        <w:t xml:space="preserve"> bylo ovlivněno složitostí dělby pravomocí mezi EU a členskými státy v těch oblastech, které spadají do působnosti studia finančního práva. Zatímco daňové právo se dotýká společných politik, spadajících pod sdílené pravomoci EU a</w:t>
      </w:r>
      <w:r>
        <w:rPr>
          <w:sz w:val="22"/>
          <w:szCs w:val="22"/>
        </w:rPr>
        <w:t> </w:t>
      </w:r>
      <w:r w:rsidRPr="00E72AEF">
        <w:rPr>
          <w:sz w:val="22"/>
          <w:szCs w:val="22"/>
        </w:rPr>
        <w:t xml:space="preserve">členských států, právo rozpočtové patří do pravomocí koordinovaných a právo měnové pro otázky eura dokonce do výlučných pravomocí EU. Výzkum harmonizace daní nebylo nicméně možné vymezit pouze na aspekty práva EU. S ohledem </w:t>
      </w:r>
      <w:r>
        <w:rPr>
          <w:sz w:val="22"/>
          <w:szCs w:val="22"/>
        </w:rPr>
        <w:t xml:space="preserve">na </w:t>
      </w:r>
      <w:r w:rsidRPr="00E72AEF">
        <w:rPr>
          <w:sz w:val="22"/>
          <w:szCs w:val="22"/>
        </w:rPr>
        <w:t xml:space="preserve">nabytí účinnosti rekodifikace soukromého práva od 1. ledna 2014 se výzkumná činnost musela zaměřit na vliv této rekodifikace na daňové právo, kdy došlo </w:t>
      </w:r>
      <w:r>
        <w:rPr>
          <w:sz w:val="22"/>
          <w:szCs w:val="22"/>
        </w:rPr>
        <w:t xml:space="preserve">k </w:t>
      </w:r>
      <w:r w:rsidRPr="00E72AEF">
        <w:rPr>
          <w:sz w:val="22"/>
          <w:szCs w:val="22"/>
        </w:rPr>
        <w:t>rozsáhlým změnám v souvislosti s rekodifikací soukromého práva.</w:t>
      </w:r>
      <w:r>
        <w:rPr>
          <w:sz w:val="22"/>
          <w:szCs w:val="22"/>
        </w:rPr>
        <w:t xml:space="preserve"> Významný výstup: Kolektiv autorů: </w:t>
      </w:r>
      <w:r w:rsidRPr="005B09CC">
        <w:rPr>
          <w:sz w:val="22"/>
          <w:szCs w:val="22"/>
        </w:rPr>
        <w:t>Daňové právo a rekodifikace soukromého práva. Acta Universitatis Carolinae, Iuridica 4/2010. Praha: Karolinum, 2014. s. 19-36. ISSN 0323-0619</w:t>
      </w:r>
      <w:r>
        <w:rPr>
          <w:sz w:val="22"/>
          <w:szCs w:val="22"/>
        </w:rPr>
        <w:t xml:space="preserve">. Dále byla pozornost věnována oblasti boje s daňovými úniky a mezinárodní spolupráci při správě daní. Mezi stěžení výstupy v této oblasti patří statě členů řešitelského týmu ve sborníku </w:t>
      </w:r>
      <w:r w:rsidRPr="005B09CC">
        <w:rPr>
          <w:sz w:val="22"/>
          <w:szCs w:val="22"/>
        </w:rPr>
        <w:t>Daňové právo vs. Daňové podvody a daňové úniky. Tax Law vs Tax Frauds and Tax evasion</w:t>
      </w:r>
      <w:r>
        <w:rPr>
          <w:sz w:val="22"/>
          <w:szCs w:val="22"/>
        </w:rPr>
        <w:t xml:space="preserve"> (</w:t>
      </w:r>
      <w:r w:rsidRPr="005B09CC">
        <w:rPr>
          <w:sz w:val="22"/>
          <w:szCs w:val="22"/>
        </w:rPr>
        <w:t>ISBN 978-80-8152-303-8</w:t>
      </w:r>
      <w:r>
        <w:rPr>
          <w:sz w:val="22"/>
          <w:szCs w:val="22"/>
        </w:rPr>
        <w:t xml:space="preserve">) a článek prof. Karfíkové a dr. Karfíka </w:t>
      </w:r>
      <w:r w:rsidRPr="005B09CC">
        <w:rPr>
          <w:sz w:val="22"/>
          <w:szCs w:val="22"/>
        </w:rPr>
        <w:t xml:space="preserve">Mezinárodní spolupráce při správě daní. International Tax Administration Cooperation. </w:t>
      </w:r>
      <w:r>
        <w:rPr>
          <w:sz w:val="22"/>
          <w:szCs w:val="22"/>
        </w:rPr>
        <w:t>(</w:t>
      </w:r>
      <w:r w:rsidRPr="005B09CC">
        <w:rPr>
          <w:sz w:val="22"/>
          <w:szCs w:val="22"/>
        </w:rPr>
        <w:t>Pocta prof. JUDr. Květoslavu Růžičkovi, CSc., k 70.</w:t>
      </w:r>
      <w:r>
        <w:rPr>
          <w:sz w:val="22"/>
          <w:szCs w:val="22"/>
        </w:rPr>
        <w:t xml:space="preserve"> </w:t>
      </w:r>
      <w:r w:rsidRPr="005B09CC">
        <w:rPr>
          <w:sz w:val="22"/>
          <w:szCs w:val="22"/>
        </w:rPr>
        <w:t>narozeninám. Poláček, B. (ed). Praha: Wolters Kluwer 2016, 460 s. ISBN 978-80-7478-976-2</w:t>
      </w:r>
      <w:r>
        <w:rPr>
          <w:sz w:val="22"/>
          <w:szCs w:val="22"/>
        </w:rPr>
        <w:t xml:space="preserve">). </w:t>
      </w:r>
      <w:r w:rsidRPr="00E72AEF">
        <w:rPr>
          <w:sz w:val="22"/>
          <w:szCs w:val="22"/>
        </w:rPr>
        <w:t xml:space="preserve">V oblasti </w:t>
      </w:r>
      <w:r w:rsidRPr="00E72AEF">
        <w:rPr>
          <w:sz w:val="22"/>
          <w:szCs w:val="22"/>
        </w:rPr>
        <w:lastRenderedPageBreak/>
        <w:t>rozpočtového práva se výzkumná činnost zaměřila na problematiku rozpočtového procesu nejen na úrovni tvorby státního rozpočtu, ale i obecně otázk</w:t>
      </w:r>
      <w:r>
        <w:rPr>
          <w:sz w:val="22"/>
          <w:szCs w:val="22"/>
        </w:rPr>
        <w:t>u</w:t>
      </w:r>
      <w:r w:rsidRPr="00E72AEF">
        <w:rPr>
          <w:sz w:val="22"/>
          <w:szCs w:val="22"/>
        </w:rPr>
        <w:t xml:space="preserve"> hospodaření s veřejnými prostředky, a to zejména pod vlivem palčivého problému zadlužení veřejných rozpočtů, který by </w:t>
      </w:r>
      <w:r w:rsidRPr="00C02C2C">
        <w:rPr>
          <w:i/>
          <w:sz w:val="22"/>
          <w:szCs w:val="22"/>
        </w:rPr>
        <w:t>de lege ferenda</w:t>
      </w:r>
      <w:r w:rsidRPr="00E72AEF">
        <w:rPr>
          <w:sz w:val="22"/>
          <w:szCs w:val="22"/>
        </w:rPr>
        <w:t xml:space="preserve"> bylo možné řešit zvláštními zákony upravujícími rozpočtovou odpovědnost. V oblasti práva finančního trhu se výzkum zaměřil zejména na problematiku dohledu nad finančním trhem a vlivu mezinárodních organizací a jiných institucí na organizaci dohledu nad finančním trhem, včetně analýzy realizace evropské bankovní unie.</w:t>
      </w:r>
    </w:p>
    <w:p w:rsidR="00FC6ABC" w:rsidRPr="00E72AEF" w:rsidRDefault="00FC6ABC" w:rsidP="00FC6ABC">
      <w:pPr>
        <w:pStyle w:val="Bn"/>
        <w:spacing w:after="0"/>
        <w:ind w:firstLine="3"/>
        <w:rPr>
          <w:sz w:val="22"/>
          <w:szCs w:val="22"/>
        </w:rPr>
      </w:pPr>
    </w:p>
    <w:p w:rsidR="00D860E3" w:rsidRDefault="005970D0" w:rsidP="00FC6ABC">
      <w:pPr>
        <w:jc w:val="both"/>
        <w:rPr>
          <w:sz w:val="22"/>
          <w:szCs w:val="22"/>
        </w:rPr>
      </w:pPr>
      <w:r w:rsidRPr="00301C6C">
        <w:rPr>
          <w:sz w:val="22"/>
          <w:szCs w:val="22"/>
        </w:rPr>
        <w:t xml:space="preserve">V dosavadním průběhu realizace programu došlo k jednoznačnému udržení zlepšení vědeckého výkonu a jeho kvality zejména v mezinárodním měřítku. </w:t>
      </w:r>
      <w:r w:rsidR="00EA6737">
        <w:rPr>
          <w:sz w:val="22"/>
          <w:szCs w:val="22"/>
        </w:rPr>
        <w:t xml:space="preserve">Tomu </w:t>
      </w:r>
      <w:r w:rsidRPr="00301C6C">
        <w:rPr>
          <w:sz w:val="22"/>
          <w:szCs w:val="22"/>
        </w:rPr>
        <w:t>svědčí zejména nárůst mezinárodních publikací členů řešitelského kolektivu a tuzemské i zahraniční ohlasy na ně. Přispěla k tomu především mezinárodní vědecké výměna. O kvalitě práce svědčí i</w:t>
      </w:r>
      <w:r w:rsidR="00D860E3">
        <w:rPr>
          <w:sz w:val="22"/>
          <w:szCs w:val="22"/>
        </w:rPr>
        <w:t xml:space="preserve"> následující</w:t>
      </w:r>
      <w:r w:rsidRPr="00301C6C">
        <w:rPr>
          <w:sz w:val="22"/>
          <w:szCs w:val="22"/>
        </w:rPr>
        <w:t xml:space="preserve"> </w:t>
      </w:r>
      <w:r w:rsidRPr="00301C6C">
        <w:rPr>
          <w:b/>
          <w:sz w:val="22"/>
          <w:szCs w:val="22"/>
        </w:rPr>
        <w:t xml:space="preserve">vysoká ocenění členů </w:t>
      </w:r>
      <w:r w:rsidR="00230266">
        <w:rPr>
          <w:b/>
          <w:sz w:val="22"/>
          <w:szCs w:val="22"/>
        </w:rPr>
        <w:t>řešitelského kolektivu</w:t>
      </w:r>
      <w:r w:rsidR="00D860E3">
        <w:rPr>
          <w:b/>
          <w:sz w:val="22"/>
          <w:szCs w:val="22"/>
        </w:rPr>
        <w:t xml:space="preserve"> </w:t>
      </w:r>
      <w:r w:rsidR="00D860E3">
        <w:rPr>
          <w:sz w:val="22"/>
          <w:szCs w:val="22"/>
        </w:rPr>
        <w:t>P06:</w:t>
      </w:r>
    </w:p>
    <w:p w:rsidR="00D860E3" w:rsidRDefault="00D860E3" w:rsidP="005970D0">
      <w:pPr>
        <w:jc w:val="both"/>
        <w:rPr>
          <w:sz w:val="22"/>
          <w:szCs w:val="22"/>
        </w:rPr>
      </w:pPr>
    </w:p>
    <w:p w:rsidR="007C42B6" w:rsidRPr="0089242E" w:rsidRDefault="007C42B6" w:rsidP="003C5E05">
      <w:pPr>
        <w:pStyle w:val="Odstavecseseznamem"/>
        <w:numPr>
          <w:ilvl w:val="0"/>
          <w:numId w:val="1"/>
        </w:numPr>
        <w:jc w:val="both"/>
        <w:rPr>
          <w:sz w:val="22"/>
          <w:szCs w:val="22"/>
        </w:rPr>
      </w:pPr>
      <w:r w:rsidRPr="0089242E">
        <w:rPr>
          <w:sz w:val="22"/>
          <w:szCs w:val="22"/>
        </w:rPr>
        <w:t xml:space="preserve">prof. Milanu Bakešovi udělil rektor Univerzity Karlovy prof. Tomáš Zima </w:t>
      </w:r>
      <w:r w:rsidR="00C93348">
        <w:rPr>
          <w:b/>
          <w:sz w:val="22"/>
          <w:szCs w:val="22"/>
        </w:rPr>
        <w:t>Z</w:t>
      </w:r>
      <w:r w:rsidRPr="0089242E">
        <w:rPr>
          <w:b/>
          <w:sz w:val="22"/>
          <w:szCs w:val="22"/>
        </w:rPr>
        <w:t>latou</w:t>
      </w:r>
      <w:r w:rsidR="003C5E05" w:rsidRPr="0089242E">
        <w:rPr>
          <w:b/>
          <w:sz w:val="22"/>
          <w:szCs w:val="22"/>
        </w:rPr>
        <w:t xml:space="preserve"> </w:t>
      </w:r>
      <w:r w:rsidRPr="0089242E">
        <w:rPr>
          <w:b/>
          <w:sz w:val="22"/>
          <w:szCs w:val="22"/>
        </w:rPr>
        <w:t xml:space="preserve">pamětní </w:t>
      </w:r>
      <w:r w:rsidR="003C5E05" w:rsidRPr="0089242E">
        <w:rPr>
          <w:b/>
          <w:sz w:val="22"/>
          <w:szCs w:val="22"/>
        </w:rPr>
        <w:t>m</w:t>
      </w:r>
      <w:r w:rsidRPr="0089242E">
        <w:rPr>
          <w:b/>
          <w:sz w:val="22"/>
          <w:szCs w:val="22"/>
        </w:rPr>
        <w:t>edaili o UK</w:t>
      </w:r>
      <w:r w:rsidRPr="0089242E">
        <w:rPr>
          <w:sz w:val="22"/>
          <w:szCs w:val="22"/>
        </w:rPr>
        <w:t xml:space="preserve"> za </w:t>
      </w:r>
      <w:r w:rsidR="003C5E05" w:rsidRPr="0089242E">
        <w:rPr>
          <w:sz w:val="22"/>
          <w:szCs w:val="22"/>
        </w:rPr>
        <w:t>dlouhodobý pedagogický a vědecký přínos k rozvoji oboru ﬁnanční právo a finanční věda</w:t>
      </w:r>
      <w:r w:rsidR="00EA6737">
        <w:rPr>
          <w:sz w:val="22"/>
          <w:szCs w:val="22"/>
        </w:rPr>
        <w:t>;</w:t>
      </w:r>
    </w:p>
    <w:p w:rsidR="00D860E3" w:rsidRPr="0089242E" w:rsidRDefault="00D860E3" w:rsidP="00D860E3">
      <w:pPr>
        <w:pStyle w:val="Odstavecseseznamem"/>
        <w:numPr>
          <w:ilvl w:val="0"/>
          <w:numId w:val="1"/>
        </w:numPr>
        <w:jc w:val="both"/>
        <w:rPr>
          <w:sz w:val="22"/>
          <w:szCs w:val="22"/>
        </w:rPr>
      </w:pPr>
      <w:r w:rsidRPr="0089242E">
        <w:rPr>
          <w:sz w:val="22"/>
          <w:szCs w:val="22"/>
        </w:rPr>
        <w:t>prof. Jiřímu Jelínkovi udělil r</w:t>
      </w:r>
      <w:r w:rsidR="005970D0" w:rsidRPr="0089242E">
        <w:rPr>
          <w:sz w:val="22"/>
          <w:szCs w:val="22"/>
        </w:rPr>
        <w:t xml:space="preserve">ektor Univerzity Karlovy prof. Tomáš Zima </w:t>
      </w:r>
      <w:r w:rsidR="00C93348">
        <w:rPr>
          <w:b/>
          <w:sz w:val="22"/>
          <w:szCs w:val="22"/>
        </w:rPr>
        <w:t>S</w:t>
      </w:r>
      <w:r w:rsidR="005970D0" w:rsidRPr="0089242E">
        <w:rPr>
          <w:b/>
          <w:sz w:val="22"/>
          <w:szCs w:val="22"/>
        </w:rPr>
        <w:t>tříbrnou pamětní medaili o UK</w:t>
      </w:r>
      <w:r w:rsidR="00976533" w:rsidRPr="0089242E">
        <w:rPr>
          <w:sz w:val="22"/>
          <w:szCs w:val="22"/>
        </w:rPr>
        <w:t xml:space="preserve"> za mimořádné zásluhy o rozvoj oboru trestní právo hmotné a procesní</w:t>
      </w:r>
      <w:r w:rsidRPr="0089242E">
        <w:rPr>
          <w:sz w:val="22"/>
          <w:szCs w:val="22"/>
        </w:rPr>
        <w:t>;</w:t>
      </w:r>
    </w:p>
    <w:p w:rsidR="00D860E3" w:rsidRDefault="00D860E3" w:rsidP="00D860E3">
      <w:pPr>
        <w:pStyle w:val="Odstavecseseznamem"/>
        <w:numPr>
          <w:ilvl w:val="0"/>
          <w:numId w:val="1"/>
        </w:numPr>
        <w:jc w:val="both"/>
        <w:rPr>
          <w:sz w:val="22"/>
          <w:szCs w:val="22"/>
        </w:rPr>
      </w:pPr>
      <w:r w:rsidRPr="0089242E">
        <w:rPr>
          <w:sz w:val="22"/>
          <w:szCs w:val="22"/>
        </w:rPr>
        <w:t>prof. Václavu Pavlíčkovi udělil p</w:t>
      </w:r>
      <w:r w:rsidR="00976533" w:rsidRPr="0089242E">
        <w:rPr>
          <w:sz w:val="22"/>
          <w:szCs w:val="22"/>
        </w:rPr>
        <w:t>rezident České republiky ing. Miloš Zeman</w:t>
      </w:r>
      <w:r w:rsidR="00217317" w:rsidRPr="0089242E">
        <w:rPr>
          <w:sz w:val="22"/>
          <w:szCs w:val="22"/>
        </w:rPr>
        <w:t xml:space="preserve"> </w:t>
      </w:r>
      <w:r w:rsidR="00217317" w:rsidRPr="0089242E">
        <w:rPr>
          <w:b/>
          <w:sz w:val="22"/>
          <w:szCs w:val="22"/>
        </w:rPr>
        <w:t>Medaili za zásluhy</w:t>
      </w:r>
      <w:r w:rsidR="00217317" w:rsidRPr="0089242E">
        <w:rPr>
          <w:b/>
          <w:bCs/>
          <w:sz w:val="22"/>
          <w:szCs w:val="22"/>
        </w:rPr>
        <w:t xml:space="preserve"> </w:t>
      </w:r>
      <w:r w:rsidR="00217317" w:rsidRPr="0089242E">
        <w:rPr>
          <w:b/>
          <w:sz w:val="22"/>
          <w:szCs w:val="22"/>
        </w:rPr>
        <w:t>o</w:t>
      </w:r>
      <w:r w:rsidR="00217317" w:rsidRPr="0089242E">
        <w:rPr>
          <w:b/>
          <w:i/>
          <w:iCs/>
          <w:sz w:val="22"/>
          <w:szCs w:val="22"/>
        </w:rPr>
        <w:t xml:space="preserve"> </w:t>
      </w:r>
      <w:r w:rsidR="00217317" w:rsidRPr="0089242E">
        <w:rPr>
          <w:b/>
          <w:sz w:val="22"/>
          <w:szCs w:val="22"/>
        </w:rPr>
        <w:t>stát</w:t>
      </w:r>
      <w:r w:rsidRPr="0089242E">
        <w:rPr>
          <w:sz w:val="22"/>
          <w:szCs w:val="22"/>
        </w:rPr>
        <w:t xml:space="preserve"> v oblasti vědy</w:t>
      </w:r>
      <w:r w:rsidR="00D54472" w:rsidRPr="0089242E">
        <w:rPr>
          <w:sz w:val="22"/>
          <w:szCs w:val="22"/>
        </w:rPr>
        <w:t>;</w:t>
      </w:r>
    </w:p>
    <w:p w:rsidR="00AE3C7F" w:rsidRPr="0089242E" w:rsidRDefault="00AE3C7F" w:rsidP="00D860E3">
      <w:pPr>
        <w:pStyle w:val="Odstavecseseznamem"/>
        <w:numPr>
          <w:ilvl w:val="0"/>
          <w:numId w:val="1"/>
        </w:numPr>
        <w:jc w:val="both"/>
        <w:rPr>
          <w:sz w:val="22"/>
          <w:szCs w:val="22"/>
        </w:rPr>
      </w:pPr>
      <w:r w:rsidRPr="0089242E">
        <w:rPr>
          <w:sz w:val="22"/>
          <w:szCs w:val="22"/>
        </w:rPr>
        <w:t xml:space="preserve">prof. Václavu Pavlíčkovi udělil </w:t>
      </w:r>
      <w:r>
        <w:rPr>
          <w:sz w:val="22"/>
          <w:szCs w:val="22"/>
        </w:rPr>
        <w:t xml:space="preserve">předseda Senátu Parlamentu </w:t>
      </w:r>
      <w:r w:rsidRPr="0089242E">
        <w:rPr>
          <w:sz w:val="22"/>
          <w:szCs w:val="22"/>
        </w:rPr>
        <w:t xml:space="preserve">České republiky </w:t>
      </w:r>
      <w:r>
        <w:rPr>
          <w:sz w:val="22"/>
          <w:szCs w:val="22"/>
        </w:rPr>
        <w:t>Milan Štěch</w:t>
      </w:r>
      <w:r w:rsidRPr="0089242E">
        <w:rPr>
          <w:sz w:val="22"/>
          <w:szCs w:val="22"/>
        </w:rPr>
        <w:t xml:space="preserve"> </w:t>
      </w:r>
      <w:r>
        <w:rPr>
          <w:b/>
          <w:sz w:val="22"/>
          <w:szCs w:val="22"/>
        </w:rPr>
        <w:t xml:space="preserve">Stříbrnou pamětní medaili Senátu </w:t>
      </w:r>
      <w:r>
        <w:rPr>
          <w:sz w:val="22"/>
          <w:szCs w:val="22"/>
        </w:rPr>
        <w:t>za zásluhy</w:t>
      </w:r>
      <w:r w:rsidRPr="0089242E">
        <w:rPr>
          <w:sz w:val="22"/>
          <w:szCs w:val="22"/>
        </w:rPr>
        <w:t xml:space="preserve"> v oblasti vědy</w:t>
      </w:r>
      <w:r>
        <w:rPr>
          <w:sz w:val="22"/>
          <w:szCs w:val="22"/>
        </w:rPr>
        <w:t>;</w:t>
      </w:r>
    </w:p>
    <w:p w:rsidR="0089242E" w:rsidRPr="0089242E" w:rsidRDefault="0089242E" w:rsidP="00D860E3">
      <w:pPr>
        <w:pStyle w:val="Odstavecseseznamem"/>
        <w:numPr>
          <w:ilvl w:val="0"/>
          <w:numId w:val="1"/>
        </w:numPr>
        <w:jc w:val="both"/>
        <w:rPr>
          <w:sz w:val="22"/>
          <w:szCs w:val="22"/>
        </w:rPr>
      </w:pPr>
      <w:r w:rsidRPr="0089242E">
        <w:rPr>
          <w:sz w:val="22"/>
          <w:szCs w:val="22"/>
        </w:rPr>
        <w:t xml:space="preserve">prof. Václavu Pavlíčkovi udělil rektor Univerzity Karlovy prof. Tomáš Zima </w:t>
      </w:r>
      <w:r w:rsidR="00C93348">
        <w:rPr>
          <w:b/>
          <w:sz w:val="22"/>
          <w:szCs w:val="22"/>
        </w:rPr>
        <w:t>Z</w:t>
      </w:r>
      <w:r w:rsidRPr="0089242E">
        <w:rPr>
          <w:b/>
          <w:sz w:val="22"/>
          <w:szCs w:val="22"/>
        </w:rPr>
        <w:t>latou pamětní medaili o UK</w:t>
      </w:r>
      <w:r w:rsidRPr="0089242E">
        <w:rPr>
          <w:sz w:val="22"/>
          <w:szCs w:val="22"/>
        </w:rPr>
        <w:t xml:space="preserve"> za</w:t>
      </w:r>
      <w:r w:rsidRPr="0089242E">
        <w:rPr>
          <w:color w:val="333333"/>
          <w:sz w:val="22"/>
          <w:szCs w:val="22"/>
        </w:rPr>
        <w:t xml:space="preserve"> rozvoj právních věd a vzdělanosti</w:t>
      </w:r>
      <w:r w:rsidR="00EA6737">
        <w:rPr>
          <w:color w:val="333333"/>
          <w:sz w:val="22"/>
          <w:szCs w:val="22"/>
        </w:rPr>
        <w:t>;</w:t>
      </w:r>
    </w:p>
    <w:p w:rsidR="004966E2" w:rsidRDefault="00D860E3" w:rsidP="00D860E3">
      <w:pPr>
        <w:pStyle w:val="Odstavecseseznamem"/>
        <w:numPr>
          <w:ilvl w:val="0"/>
          <w:numId w:val="1"/>
        </w:numPr>
        <w:jc w:val="both"/>
        <w:rPr>
          <w:sz w:val="22"/>
          <w:szCs w:val="22"/>
        </w:rPr>
      </w:pPr>
      <w:r w:rsidRPr="0089242E">
        <w:rPr>
          <w:sz w:val="22"/>
          <w:szCs w:val="22"/>
        </w:rPr>
        <w:t>prof. Michalu Tomáškovi udělil s</w:t>
      </w:r>
      <w:r w:rsidR="00217317" w:rsidRPr="0089242E">
        <w:rPr>
          <w:sz w:val="22"/>
          <w:szCs w:val="22"/>
        </w:rPr>
        <w:t xml:space="preserve">polkový prezident Rakouské republiky dr. Heinz Fischer </w:t>
      </w:r>
      <w:r w:rsidR="00217317" w:rsidRPr="0089242E">
        <w:rPr>
          <w:b/>
          <w:sz w:val="22"/>
          <w:szCs w:val="22"/>
        </w:rPr>
        <w:t>Rakouský čes</w:t>
      </w:r>
      <w:r w:rsidR="0048378F" w:rsidRPr="0089242E">
        <w:rPr>
          <w:b/>
          <w:sz w:val="22"/>
          <w:szCs w:val="22"/>
        </w:rPr>
        <w:t>tný kříž za vědu a umění</w:t>
      </w:r>
      <w:r w:rsidR="00301C6C" w:rsidRPr="0089242E">
        <w:rPr>
          <w:sz w:val="22"/>
          <w:szCs w:val="22"/>
        </w:rPr>
        <w:t xml:space="preserve"> s odůvodněním, že se jako</w:t>
      </w:r>
      <w:r w:rsidR="0048378F" w:rsidRPr="0089242E">
        <w:rPr>
          <w:sz w:val="22"/>
          <w:szCs w:val="22"/>
        </w:rPr>
        <w:t xml:space="preserve"> </w:t>
      </w:r>
      <w:r w:rsidR="00301C6C" w:rsidRPr="0089242E">
        <w:rPr>
          <w:sz w:val="22"/>
          <w:szCs w:val="22"/>
        </w:rPr>
        <w:t>„světově uznávaný odborník na evropské právo mimořádným způsobem zasloužil o prohloubení akademických a vědeckých kontaktů mez</w:t>
      </w:r>
      <w:r w:rsidR="004966E2" w:rsidRPr="0089242E">
        <w:rPr>
          <w:sz w:val="22"/>
          <w:szCs w:val="22"/>
        </w:rPr>
        <w:t>i Českou republikou a Rakouskem;</w:t>
      </w:r>
    </w:p>
    <w:p w:rsidR="00230266" w:rsidRPr="0089242E" w:rsidRDefault="00230266" w:rsidP="00D860E3">
      <w:pPr>
        <w:pStyle w:val="Odstavecseseznamem"/>
        <w:numPr>
          <w:ilvl w:val="0"/>
          <w:numId w:val="1"/>
        </w:numPr>
        <w:jc w:val="both"/>
        <w:rPr>
          <w:sz w:val="22"/>
          <w:szCs w:val="22"/>
        </w:rPr>
      </w:pPr>
      <w:r>
        <w:rPr>
          <w:sz w:val="22"/>
          <w:szCs w:val="22"/>
        </w:rPr>
        <w:t xml:space="preserve">prof. Jiřímu Rajmundu Treterovi udělil arcibiskup pražský a primas český Th.Lic. Dominik Kardinál Duka </w:t>
      </w:r>
      <w:r w:rsidR="00C93348">
        <w:rPr>
          <w:b/>
          <w:sz w:val="22"/>
          <w:szCs w:val="22"/>
        </w:rPr>
        <w:t>Z</w:t>
      </w:r>
      <w:r>
        <w:rPr>
          <w:b/>
          <w:sz w:val="22"/>
          <w:szCs w:val="22"/>
        </w:rPr>
        <w:t>latou medaili sv. Vojtěcha</w:t>
      </w:r>
      <w:r>
        <w:rPr>
          <w:sz w:val="22"/>
          <w:szCs w:val="22"/>
        </w:rPr>
        <w:t xml:space="preserve"> za zásluhy a přínos v oblasti studia církevního a</w:t>
      </w:r>
      <w:r w:rsidR="00EA6737">
        <w:rPr>
          <w:sz w:val="22"/>
          <w:szCs w:val="22"/>
        </w:rPr>
        <w:t> </w:t>
      </w:r>
      <w:r>
        <w:rPr>
          <w:sz w:val="22"/>
          <w:szCs w:val="22"/>
        </w:rPr>
        <w:t xml:space="preserve">konfesního práva; </w:t>
      </w:r>
    </w:p>
    <w:p w:rsidR="00E056B9" w:rsidRPr="00460AD3" w:rsidRDefault="004966E2" w:rsidP="00D860E3">
      <w:pPr>
        <w:pStyle w:val="Odstavecseseznamem"/>
        <w:numPr>
          <w:ilvl w:val="0"/>
          <w:numId w:val="1"/>
        </w:numPr>
        <w:jc w:val="both"/>
        <w:rPr>
          <w:sz w:val="22"/>
          <w:szCs w:val="22"/>
        </w:rPr>
      </w:pPr>
      <w:r w:rsidRPr="00460AD3">
        <w:rPr>
          <w:sz w:val="22"/>
          <w:szCs w:val="22"/>
        </w:rPr>
        <w:t xml:space="preserve">prof. Petru Trösterovi udělilo </w:t>
      </w:r>
      <w:r w:rsidR="0077666A" w:rsidRPr="00460AD3">
        <w:rPr>
          <w:rFonts w:eastAsiaTheme="minorHAnsi"/>
          <w:sz w:val="22"/>
          <w:szCs w:val="22"/>
          <w:lang w:eastAsia="en-US"/>
        </w:rPr>
        <w:t xml:space="preserve">Nadání Josefa, Marie a Zdenky Hlávkových </w:t>
      </w:r>
      <w:r w:rsidR="00460AD3" w:rsidRPr="00460AD3">
        <w:rPr>
          <w:rStyle w:val="Siln"/>
          <w:sz w:val="22"/>
          <w:szCs w:val="22"/>
        </w:rPr>
        <w:t xml:space="preserve">Medaili Josefa Hlávky </w:t>
      </w:r>
      <w:r w:rsidR="00460AD3" w:rsidRPr="00460AD3">
        <w:rPr>
          <w:rStyle w:val="Siln"/>
          <w:b w:val="0"/>
          <w:sz w:val="22"/>
          <w:szCs w:val="22"/>
        </w:rPr>
        <w:t>za celoživotní vědeckou a pedagogickou práci a za šíření dobrého jména české vědy ve světě</w:t>
      </w:r>
      <w:r w:rsidR="00460AD3">
        <w:rPr>
          <w:rStyle w:val="Siln"/>
          <w:b w:val="0"/>
          <w:sz w:val="22"/>
          <w:szCs w:val="22"/>
        </w:rPr>
        <w:t>.</w:t>
      </w:r>
    </w:p>
    <w:p w:rsidR="00E056B9" w:rsidRPr="00460AD3" w:rsidRDefault="00E056B9" w:rsidP="00E056B9">
      <w:pPr>
        <w:rPr>
          <w:sz w:val="22"/>
          <w:szCs w:val="22"/>
        </w:rPr>
      </w:pPr>
    </w:p>
    <w:p w:rsidR="007363A8" w:rsidRDefault="00097D74" w:rsidP="000212A1">
      <w:pPr>
        <w:keepNext/>
        <w:jc w:val="both"/>
        <w:rPr>
          <w:b/>
        </w:rPr>
      </w:pPr>
      <w:r>
        <w:rPr>
          <w:b/>
        </w:rPr>
        <w:t>B.2</w:t>
      </w:r>
    </w:p>
    <w:p w:rsidR="00097D74" w:rsidRDefault="00097D74" w:rsidP="000212A1">
      <w:pPr>
        <w:keepNext/>
        <w:jc w:val="both"/>
        <w:rPr>
          <w:b/>
        </w:rPr>
      </w:pPr>
      <w:r>
        <w:rPr>
          <w:b/>
        </w:rPr>
        <w:t>Nejvýznamnější výsledky vytvořené v dosavadním průběhu realizace programu</w:t>
      </w:r>
    </w:p>
    <w:p w:rsidR="00097D74" w:rsidRPr="00C60141" w:rsidRDefault="00097D74" w:rsidP="00C60141">
      <w:pPr>
        <w:keepNext/>
        <w:jc w:val="both"/>
        <w:rPr>
          <w:i/>
          <w:sz w:val="22"/>
          <w:szCs w:val="22"/>
        </w:rPr>
      </w:pPr>
      <w:r w:rsidRPr="00C60141">
        <w:rPr>
          <w:i/>
          <w:sz w:val="22"/>
          <w:szCs w:val="22"/>
        </w:rPr>
        <w:t>Uveďte 5–10 výsledků.</w:t>
      </w:r>
    </w:p>
    <w:p w:rsidR="00097D74" w:rsidRPr="00C60141" w:rsidRDefault="00097D74" w:rsidP="00C60141">
      <w:pPr>
        <w:jc w:val="both"/>
        <w:rPr>
          <w:sz w:val="22"/>
          <w:szCs w:val="22"/>
        </w:rPr>
      </w:pPr>
    </w:p>
    <w:p w:rsidR="00A61AE1" w:rsidRPr="0026014E" w:rsidRDefault="00A61AE1" w:rsidP="0026014E">
      <w:pPr>
        <w:pStyle w:val="Odstavecseseznamem"/>
        <w:numPr>
          <w:ilvl w:val="0"/>
          <w:numId w:val="16"/>
        </w:numPr>
        <w:ind w:left="360"/>
        <w:jc w:val="both"/>
        <w:rPr>
          <w:sz w:val="22"/>
          <w:szCs w:val="22"/>
        </w:rPr>
      </w:pPr>
      <w:r w:rsidRPr="0026014E">
        <w:rPr>
          <w:sz w:val="22"/>
          <w:szCs w:val="22"/>
        </w:rPr>
        <w:t xml:space="preserve">CHROMÁ, Marta. </w:t>
      </w:r>
      <w:r w:rsidRPr="005516FA">
        <w:rPr>
          <w:sz w:val="22"/>
          <w:szCs w:val="22"/>
        </w:rPr>
        <w:t>A Dictionary for Legal Translation</w:t>
      </w:r>
      <w:r w:rsidRPr="0026014E">
        <w:rPr>
          <w:sz w:val="22"/>
          <w:szCs w:val="22"/>
        </w:rPr>
        <w:t xml:space="preserve">. In </w:t>
      </w:r>
      <w:r w:rsidRPr="005516FA">
        <w:rPr>
          <w:i/>
          <w:iCs/>
          <w:sz w:val="22"/>
          <w:szCs w:val="22"/>
        </w:rPr>
        <w:t>The Role of Legal Translation in Legal Harmonization</w:t>
      </w:r>
      <w:r w:rsidR="005516FA">
        <w:rPr>
          <w:i/>
          <w:iCs/>
          <w:sz w:val="22"/>
          <w:szCs w:val="22"/>
        </w:rPr>
        <w:t xml:space="preserve">, </w:t>
      </w:r>
      <w:r w:rsidR="005516FA" w:rsidRPr="0026014E">
        <w:rPr>
          <w:sz w:val="22"/>
          <w:szCs w:val="22"/>
        </w:rPr>
        <w:t>s. 109</w:t>
      </w:r>
      <w:r w:rsidR="005516FA">
        <w:rPr>
          <w:sz w:val="22"/>
          <w:szCs w:val="22"/>
        </w:rPr>
        <w:t>–</w:t>
      </w:r>
      <w:r w:rsidR="005516FA" w:rsidRPr="0026014E">
        <w:rPr>
          <w:sz w:val="22"/>
          <w:szCs w:val="22"/>
        </w:rPr>
        <w:t>138</w:t>
      </w:r>
      <w:r w:rsidR="005516FA">
        <w:rPr>
          <w:sz w:val="22"/>
          <w:szCs w:val="22"/>
        </w:rPr>
        <w:t>,</w:t>
      </w:r>
      <w:r w:rsidRPr="0026014E">
        <w:rPr>
          <w:sz w:val="22"/>
          <w:szCs w:val="22"/>
        </w:rPr>
        <w:t xml:space="preserve"> 1. vyd. Alphen aan den Rijn: Kluwer Law International, 2012</w:t>
      </w:r>
      <w:r w:rsidR="004A5D79">
        <w:rPr>
          <w:sz w:val="22"/>
          <w:szCs w:val="22"/>
        </w:rPr>
        <w:t>, 235 s.</w:t>
      </w:r>
      <w:r w:rsidR="005516FA">
        <w:rPr>
          <w:sz w:val="22"/>
          <w:szCs w:val="22"/>
        </w:rPr>
        <w:t xml:space="preserve"> </w:t>
      </w:r>
      <w:r w:rsidRPr="0026014E">
        <w:rPr>
          <w:sz w:val="22"/>
          <w:szCs w:val="22"/>
        </w:rPr>
        <w:t xml:space="preserve">ISBN 978-90-411-3796-8. </w:t>
      </w:r>
    </w:p>
    <w:p w:rsidR="0026014E" w:rsidRPr="0026014E" w:rsidRDefault="0026014E" w:rsidP="0026014E">
      <w:pPr>
        <w:pStyle w:val="Odstavecseseznamem"/>
        <w:ind w:left="360"/>
        <w:rPr>
          <w:sz w:val="22"/>
          <w:szCs w:val="22"/>
        </w:rPr>
      </w:pPr>
    </w:p>
    <w:p w:rsidR="0026014E" w:rsidRPr="0026014E" w:rsidRDefault="0026014E" w:rsidP="0026014E">
      <w:pPr>
        <w:pStyle w:val="Odstavecseseznamem"/>
        <w:numPr>
          <w:ilvl w:val="0"/>
          <w:numId w:val="16"/>
        </w:numPr>
        <w:ind w:left="360"/>
        <w:jc w:val="both"/>
        <w:rPr>
          <w:sz w:val="22"/>
          <w:szCs w:val="22"/>
        </w:rPr>
      </w:pPr>
      <w:r w:rsidRPr="0026014E">
        <w:rPr>
          <w:sz w:val="22"/>
          <w:szCs w:val="22"/>
        </w:rPr>
        <w:t xml:space="preserve">IVOR, J., JELÍNEK, J. et al.: </w:t>
      </w:r>
      <w:r w:rsidRPr="003E77BC">
        <w:rPr>
          <w:i/>
          <w:sz w:val="22"/>
          <w:szCs w:val="22"/>
        </w:rPr>
        <w:t>Euro Crimes in the Legal Systems of the Czech Republic and of the Slovak Republic</w:t>
      </w:r>
      <w:r w:rsidR="003E77BC">
        <w:rPr>
          <w:sz w:val="22"/>
          <w:szCs w:val="22"/>
        </w:rPr>
        <w:t xml:space="preserve">. </w:t>
      </w:r>
      <w:r w:rsidRPr="0026014E">
        <w:rPr>
          <w:sz w:val="22"/>
          <w:szCs w:val="22"/>
        </w:rPr>
        <w:t xml:space="preserve"> </w:t>
      </w:r>
      <w:r w:rsidR="003E77BC" w:rsidRPr="0026014E">
        <w:rPr>
          <w:sz w:val="22"/>
          <w:szCs w:val="22"/>
        </w:rPr>
        <w:t>Budapest</w:t>
      </w:r>
      <w:r w:rsidR="003E77BC">
        <w:rPr>
          <w:sz w:val="22"/>
          <w:szCs w:val="22"/>
        </w:rPr>
        <w:t>:</w:t>
      </w:r>
      <w:r w:rsidR="003E77BC" w:rsidRPr="0026014E">
        <w:rPr>
          <w:sz w:val="22"/>
          <w:szCs w:val="22"/>
        </w:rPr>
        <w:t xml:space="preserve"> Wolters Kluwer</w:t>
      </w:r>
      <w:r w:rsidR="003E77BC">
        <w:rPr>
          <w:sz w:val="22"/>
          <w:szCs w:val="22"/>
        </w:rPr>
        <w:t xml:space="preserve">, </w:t>
      </w:r>
      <w:r w:rsidRPr="0026014E">
        <w:rPr>
          <w:sz w:val="22"/>
          <w:szCs w:val="22"/>
        </w:rPr>
        <w:t>2015, 260 s.</w:t>
      </w:r>
      <w:r w:rsidR="0041491A">
        <w:rPr>
          <w:sz w:val="22"/>
          <w:szCs w:val="22"/>
        </w:rPr>
        <w:t xml:space="preserve"> ISBN 978-963-295-537-7</w:t>
      </w:r>
    </w:p>
    <w:p w:rsidR="0026014E" w:rsidRPr="0026014E" w:rsidRDefault="0026014E" w:rsidP="0026014E">
      <w:pPr>
        <w:pStyle w:val="Odstavecseseznamem"/>
        <w:ind w:left="360"/>
        <w:rPr>
          <w:sz w:val="22"/>
          <w:szCs w:val="22"/>
        </w:rPr>
      </w:pPr>
    </w:p>
    <w:p w:rsidR="0026014E" w:rsidRPr="003E77BC" w:rsidRDefault="0026014E" w:rsidP="003E77BC">
      <w:pPr>
        <w:pStyle w:val="Odstavecseseznamem"/>
        <w:numPr>
          <w:ilvl w:val="0"/>
          <w:numId w:val="16"/>
        </w:numPr>
        <w:ind w:left="360"/>
        <w:jc w:val="both"/>
        <w:rPr>
          <w:sz w:val="22"/>
          <w:szCs w:val="22"/>
        </w:rPr>
      </w:pPr>
      <w:r w:rsidRPr="0026014E">
        <w:rPr>
          <w:sz w:val="22"/>
          <w:szCs w:val="22"/>
        </w:rPr>
        <w:t>KARFÍKOVÁ, M</w:t>
      </w:r>
      <w:r w:rsidR="003E77BC">
        <w:rPr>
          <w:sz w:val="22"/>
          <w:szCs w:val="22"/>
        </w:rPr>
        <w:t>.</w:t>
      </w:r>
      <w:r w:rsidRPr="0026014E">
        <w:rPr>
          <w:sz w:val="22"/>
          <w:szCs w:val="22"/>
        </w:rPr>
        <w:t>, KARFÍK, Z</w:t>
      </w:r>
      <w:r w:rsidR="003E77BC">
        <w:rPr>
          <w:sz w:val="22"/>
          <w:szCs w:val="22"/>
        </w:rPr>
        <w:t>.</w:t>
      </w:r>
      <w:r w:rsidRPr="0026014E">
        <w:rPr>
          <w:sz w:val="22"/>
          <w:szCs w:val="22"/>
        </w:rPr>
        <w:t xml:space="preserve">: </w:t>
      </w:r>
      <w:r w:rsidRPr="00642ED2">
        <w:rPr>
          <w:sz w:val="22"/>
          <w:szCs w:val="22"/>
        </w:rPr>
        <w:t>The Role of Foundations at the Beginning of the 21st Century.</w:t>
      </w:r>
      <w:r w:rsidRPr="0026014E">
        <w:rPr>
          <w:sz w:val="22"/>
          <w:szCs w:val="22"/>
        </w:rPr>
        <w:t xml:space="preserve"> In BĚLOHLÁVEK, A., ROZEHNALOVÁ, N., ČERNÝ, F. (eds.)</w:t>
      </w:r>
      <w:r w:rsidR="00642ED2">
        <w:rPr>
          <w:sz w:val="22"/>
          <w:szCs w:val="22"/>
        </w:rPr>
        <w:t>:</w:t>
      </w:r>
      <w:r w:rsidRPr="0026014E">
        <w:rPr>
          <w:sz w:val="22"/>
          <w:szCs w:val="22"/>
        </w:rPr>
        <w:t xml:space="preserve"> </w:t>
      </w:r>
      <w:r w:rsidRPr="00642ED2">
        <w:rPr>
          <w:i/>
          <w:sz w:val="22"/>
          <w:szCs w:val="22"/>
        </w:rPr>
        <w:t>Czech Yearbook of International Law: The Role of Governmental and Non-governmental Organizations in the 21st Century</w:t>
      </w:r>
      <w:r w:rsidR="0041491A">
        <w:rPr>
          <w:i/>
          <w:sz w:val="22"/>
          <w:szCs w:val="22"/>
        </w:rPr>
        <w:t xml:space="preserve">, </w:t>
      </w:r>
      <w:r w:rsidR="0041491A">
        <w:rPr>
          <w:sz w:val="22"/>
          <w:szCs w:val="22"/>
        </w:rPr>
        <w:t>s. 155–170.</w:t>
      </w:r>
      <w:r w:rsidRPr="0026014E">
        <w:rPr>
          <w:sz w:val="22"/>
          <w:szCs w:val="22"/>
        </w:rPr>
        <w:t xml:space="preserve"> </w:t>
      </w:r>
      <w:r w:rsidR="003E77BC">
        <w:rPr>
          <w:sz w:val="22"/>
          <w:szCs w:val="22"/>
        </w:rPr>
        <w:t xml:space="preserve">New York: </w:t>
      </w:r>
      <w:r w:rsidRPr="0026014E">
        <w:rPr>
          <w:sz w:val="22"/>
          <w:szCs w:val="22"/>
        </w:rPr>
        <w:t xml:space="preserve">Juris Publishing, Inc., </w:t>
      </w:r>
      <w:r w:rsidR="003E77BC">
        <w:rPr>
          <w:sz w:val="22"/>
          <w:szCs w:val="22"/>
        </w:rPr>
        <w:t>201</w:t>
      </w:r>
      <w:r w:rsidR="0041491A">
        <w:rPr>
          <w:sz w:val="22"/>
          <w:szCs w:val="22"/>
        </w:rPr>
        <w:t>4, 432 s</w:t>
      </w:r>
      <w:r w:rsidR="003E77BC">
        <w:rPr>
          <w:sz w:val="22"/>
          <w:szCs w:val="22"/>
        </w:rPr>
        <w:t>.</w:t>
      </w:r>
      <w:r w:rsidR="0041491A">
        <w:rPr>
          <w:sz w:val="22"/>
          <w:szCs w:val="22"/>
        </w:rPr>
        <w:t xml:space="preserve"> </w:t>
      </w:r>
      <w:r w:rsidR="003E77BC">
        <w:rPr>
          <w:sz w:val="22"/>
          <w:szCs w:val="22"/>
        </w:rPr>
        <w:t xml:space="preserve"> </w:t>
      </w:r>
      <w:r w:rsidRPr="003E77BC">
        <w:rPr>
          <w:sz w:val="22"/>
          <w:szCs w:val="22"/>
        </w:rPr>
        <w:t>ISBN</w:t>
      </w:r>
      <w:r w:rsidR="003E77BC">
        <w:rPr>
          <w:sz w:val="22"/>
          <w:szCs w:val="22"/>
        </w:rPr>
        <w:t> </w:t>
      </w:r>
      <w:r w:rsidRPr="003E77BC">
        <w:rPr>
          <w:sz w:val="22"/>
          <w:szCs w:val="22"/>
        </w:rPr>
        <w:t>978-1-57823-344-1.</w:t>
      </w:r>
    </w:p>
    <w:p w:rsidR="00A61AE1" w:rsidRPr="003E77BC" w:rsidRDefault="00A61AE1" w:rsidP="0026014E">
      <w:pPr>
        <w:pStyle w:val="Odstavecseseznamem"/>
        <w:ind w:left="0"/>
        <w:jc w:val="both"/>
        <w:rPr>
          <w:sz w:val="22"/>
          <w:szCs w:val="22"/>
          <w:lang w:val="en-US"/>
        </w:rPr>
      </w:pPr>
    </w:p>
    <w:p w:rsidR="00C8564B" w:rsidRPr="0026014E" w:rsidRDefault="00C8564B" w:rsidP="0026014E">
      <w:pPr>
        <w:pStyle w:val="Odstavecseseznamem"/>
        <w:numPr>
          <w:ilvl w:val="0"/>
          <w:numId w:val="16"/>
        </w:numPr>
        <w:ind w:left="360"/>
        <w:jc w:val="both"/>
        <w:rPr>
          <w:sz w:val="22"/>
          <w:szCs w:val="22"/>
          <w:lang w:val="en-US"/>
        </w:rPr>
      </w:pPr>
      <w:r w:rsidRPr="0026014E">
        <w:rPr>
          <w:sz w:val="22"/>
          <w:szCs w:val="22"/>
        </w:rPr>
        <w:t xml:space="preserve">MOON, </w:t>
      </w:r>
      <w:r w:rsidRPr="0026014E">
        <w:rPr>
          <w:sz w:val="22"/>
          <w:szCs w:val="22"/>
          <w:lang w:eastAsia="ko-KR"/>
        </w:rPr>
        <w:t>J</w:t>
      </w:r>
      <w:r w:rsidR="003E77BC">
        <w:rPr>
          <w:sz w:val="22"/>
          <w:szCs w:val="22"/>
          <w:lang w:eastAsia="ko-KR"/>
        </w:rPr>
        <w:t>.</w:t>
      </w:r>
      <w:r w:rsidRPr="0026014E">
        <w:rPr>
          <w:sz w:val="22"/>
          <w:szCs w:val="22"/>
          <w:lang w:eastAsia="ko-KR"/>
        </w:rPr>
        <w:t xml:space="preserve">, </w:t>
      </w:r>
      <w:r w:rsidRPr="0026014E">
        <w:rPr>
          <w:sz w:val="22"/>
          <w:szCs w:val="22"/>
        </w:rPr>
        <w:t>TOMÁŠEK</w:t>
      </w:r>
      <w:r w:rsidR="003E77BC">
        <w:rPr>
          <w:sz w:val="22"/>
          <w:szCs w:val="22"/>
        </w:rPr>
        <w:t>,</w:t>
      </w:r>
      <w:r w:rsidRPr="0026014E">
        <w:rPr>
          <w:sz w:val="22"/>
          <w:szCs w:val="22"/>
        </w:rPr>
        <w:t xml:space="preserve"> M</w:t>
      </w:r>
      <w:r w:rsidR="003E77BC">
        <w:rPr>
          <w:sz w:val="22"/>
          <w:szCs w:val="22"/>
        </w:rPr>
        <w:t>.</w:t>
      </w:r>
      <w:r w:rsidRPr="0026014E">
        <w:rPr>
          <w:sz w:val="22"/>
          <w:szCs w:val="22"/>
        </w:rPr>
        <w:t xml:space="preserve"> et alii: </w:t>
      </w:r>
      <w:r w:rsidRPr="0026014E">
        <w:rPr>
          <w:i/>
          <w:sz w:val="22"/>
          <w:szCs w:val="22"/>
        </w:rPr>
        <w:t xml:space="preserve">Law crossing Eurasia: From Korea to the Czech Republic. </w:t>
      </w:r>
      <w:r w:rsidRPr="0026014E">
        <w:rPr>
          <w:sz w:val="22"/>
          <w:szCs w:val="22"/>
        </w:rPr>
        <w:t xml:space="preserve">Berlin/Passau: rW&amp;W </w:t>
      </w:r>
      <w:r w:rsidRPr="0026014E">
        <w:rPr>
          <w:sz w:val="22"/>
          <w:szCs w:val="22"/>
          <w:lang w:val="en-US"/>
        </w:rPr>
        <w:t>Science &amp; New Media, 2015, 290 s.</w:t>
      </w:r>
      <w:r w:rsidR="0041491A">
        <w:rPr>
          <w:sz w:val="22"/>
          <w:szCs w:val="22"/>
          <w:lang w:val="en-US"/>
        </w:rPr>
        <w:t xml:space="preserve"> ISBN 978-3-9816855-2-7</w:t>
      </w:r>
    </w:p>
    <w:p w:rsidR="00D66A35" w:rsidRPr="00C60141" w:rsidRDefault="00D66A35" w:rsidP="0026014E">
      <w:pPr>
        <w:pStyle w:val="Odstavecseseznamem"/>
        <w:ind w:left="0"/>
        <w:jc w:val="both"/>
        <w:rPr>
          <w:sz w:val="22"/>
          <w:szCs w:val="22"/>
          <w:lang w:val="en-US"/>
        </w:rPr>
      </w:pPr>
    </w:p>
    <w:p w:rsidR="009D0BD5" w:rsidRPr="0026014E" w:rsidRDefault="00D66A35" w:rsidP="0026014E">
      <w:pPr>
        <w:pStyle w:val="Odstavecseseznamem"/>
        <w:numPr>
          <w:ilvl w:val="0"/>
          <w:numId w:val="16"/>
        </w:numPr>
        <w:autoSpaceDE w:val="0"/>
        <w:autoSpaceDN w:val="0"/>
        <w:adjustRightInd w:val="0"/>
        <w:ind w:left="360"/>
        <w:jc w:val="both"/>
        <w:rPr>
          <w:sz w:val="22"/>
          <w:szCs w:val="22"/>
        </w:rPr>
      </w:pPr>
      <w:r w:rsidRPr="0026014E">
        <w:rPr>
          <w:sz w:val="22"/>
          <w:szCs w:val="22"/>
        </w:rPr>
        <w:lastRenderedPageBreak/>
        <w:t>PAVLÍČEK, V</w:t>
      </w:r>
      <w:r w:rsidR="003E77BC">
        <w:rPr>
          <w:sz w:val="22"/>
          <w:szCs w:val="22"/>
        </w:rPr>
        <w:t>.,</w:t>
      </w:r>
      <w:r w:rsidRPr="0026014E">
        <w:rPr>
          <w:sz w:val="22"/>
          <w:szCs w:val="22"/>
        </w:rPr>
        <w:t xml:space="preserve"> KINDLOVÁ, M</w:t>
      </w:r>
      <w:r w:rsidR="003E77BC">
        <w:rPr>
          <w:sz w:val="22"/>
          <w:szCs w:val="22"/>
        </w:rPr>
        <w:t>.</w:t>
      </w:r>
      <w:r w:rsidRPr="0026014E">
        <w:rPr>
          <w:sz w:val="22"/>
          <w:szCs w:val="22"/>
        </w:rPr>
        <w:t xml:space="preserve"> Czech Republic</w:t>
      </w:r>
      <w:r w:rsidR="004A5D79">
        <w:rPr>
          <w:sz w:val="22"/>
          <w:szCs w:val="22"/>
        </w:rPr>
        <w:t xml:space="preserve">. In </w:t>
      </w:r>
      <w:r w:rsidRPr="0026014E">
        <w:rPr>
          <w:i/>
          <w:iCs/>
          <w:sz w:val="22"/>
          <w:szCs w:val="22"/>
        </w:rPr>
        <w:t>Constitutional Law of the EU Member States</w:t>
      </w:r>
      <w:r w:rsidR="004A5D79">
        <w:rPr>
          <w:sz w:val="22"/>
          <w:szCs w:val="22"/>
        </w:rPr>
        <w:t>, s.</w:t>
      </w:r>
      <w:r w:rsidR="004A5D79" w:rsidRPr="004A5D79">
        <w:rPr>
          <w:sz w:val="22"/>
          <w:szCs w:val="22"/>
        </w:rPr>
        <w:t xml:space="preserve"> </w:t>
      </w:r>
      <w:r w:rsidR="004A5D79" w:rsidRPr="0026014E">
        <w:rPr>
          <w:sz w:val="22"/>
          <w:szCs w:val="22"/>
        </w:rPr>
        <w:t>321</w:t>
      </w:r>
      <w:r w:rsidR="004A5D79">
        <w:rPr>
          <w:sz w:val="22"/>
          <w:szCs w:val="22"/>
        </w:rPr>
        <w:t>–</w:t>
      </w:r>
      <w:r w:rsidR="004A5D79" w:rsidRPr="0026014E">
        <w:rPr>
          <w:sz w:val="22"/>
          <w:szCs w:val="22"/>
        </w:rPr>
        <w:t>394</w:t>
      </w:r>
      <w:r w:rsidR="004A5D79">
        <w:rPr>
          <w:sz w:val="22"/>
          <w:szCs w:val="22"/>
        </w:rPr>
        <w:t>,</w:t>
      </w:r>
      <w:r w:rsidRPr="0026014E">
        <w:rPr>
          <w:sz w:val="22"/>
          <w:szCs w:val="22"/>
        </w:rPr>
        <w:t xml:space="preserve"> 1. vyd. </w:t>
      </w:r>
      <w:r w:rsidR="004A5D79" w:rsidRPr="0026014E">
        <w:rPr>
          <w:sz w:val="22"/>
          <w:szCs w:val="22"/>
        </w:rPr>
        <w:t>Alphen aan den Rijn: Kluwer Law International</w:t>
      </w:r>
      <w:r w:rsidR="004A5D79">
        <w:rPr>
          <w:sz w:val="22"/>
          <w:szCs w:val="22"/>
        </w:rPr>
        <w:t>,</w:t>
      </w:r>
      <w:r w:rsidR="004A5D79" w:rsidRPr="0026014E">
        <w:rPr>
          <w:sz w:val="22"/>
          <w:szCs w:val="22"/>
        </w:rPr>
        <w:t xml:space="preserve"> </w:t>
      </w:r>
      <w:r w:rsidRPr="0026014E">
        <w:rPr>
          <w:sz w:val="22"/>
          <w:szCs w:val="22"/>
        </w:rPr>
        <w:t xml:space="preserve"> 2014, </w:t>
      </w:r>
      <w:r w:rsidR="004A5D79">
        <w:rPr>
          <w:sz w:val="22"/>
          <w:szCs w:val="22"/>
        </w:rPr>
        <w:t xml:space="preserve">1765 </w:t>
      </w:r>
      <w:r w:rsidRPr="0026014E">
        <w:rPr>
          <w:sz w:val="22"/>
          <w:szCs w:val="22"/>
        </w:rPr>
        <w:t>s.</w:t>
      </w:r>
      <w:r w:rsidR="004A5D79">
        <w:rPr>
          <w:sz w:val="22"/>
          <w:szCs w:val="22"/>
        </w:rPr>
        <w:t xml:space="preserve">    </w:t>
      </w:r>
      <w:r w:rsidRPr="0026014E">
        <w:rPr>
          <w:sz w:val="22"/>
          <w:szCs w:val="22"/>
        </w:rPr>
        <w:t xml:space="preserve"> ISBN 978-90-13-09176-2.</w:t>
      </w:r>
    </w:p>
    <w:p w:rsidR="009D0BD5" w:rsidRPr="00C60141" w:rsidRDefault="009D0BD5" w:rsidP="0026014E">
      <w:pPr>
        <w:pStyle w:val="Odstavecseseznamem"/>
        <w:autoSpaceDE w:val="0"/>
        <w:autoSpaceDN w:val="0"/>
        <w:adjustRightInd w:val="0"/>
        <w:ind w:left="0"/>
        <w:jc w:val="both"/>
        <w:rPr>
          <w:sz w:val="22"/>
          <w:szCs w:val="22"/>
        </w:rPr>
      </w:pPr>
    </w:p>
    <w:p w:rsidR="00C8564B" w:rsidRPr="0026014E" w:rsidRDefault="00C8564B" w:rsidP="0026014E">
      <w:pPr>
        <w:pStyle w:val="Odstavecseseznamem"/>
        <w:numPr>
          <w:ilvl w:val="0"/>
          <w:numId w:val="16"/>
        </w:numPr>
        <w:autoSpaceDE w:val="0"/>
        <w:autoSpaceDN w:val="0"/>
        <w:adjustRightInd w:val="0"/>
        <w:ind w:left="360"/>
        <w:jc w:val="both"/>
        <w:rPr>
          <w:sz w:val="22"/>
          <w:szCs w:val="22"/>
        </w:rPr>
      </w:pPr>
      <w:r w:rsidRPr="0026014E">
        <w:rPr>
          <w:sz w:val="22"/>
          <w:szCs w:val="22"/>
          <w:lang w:val="en-US"/>
        </w:rPr>
        <w:t>PÍTROVÁ, L</w:t>
      </w:r>
      <w:r w:rsidR="003E77BC">
        <w:rPr>
          <w:sz w:val="22"/>
          <w:szCs w:val="22"/>
          <w:lang w:val="en-US"/>
        </w:rPr>
        <w:t>.</w:t>
      </w:r>
      <w:r w:rsidRPr="0026014E">
        <w:rPr>
          <w:sz w:val="22"/>
          <w:szCs w:val="22"/>
          <w:lang w:val="en-US"/>
        </w:rPr>
        <w:t xml:space="preserve"> et alii: </w:t>
      </w:r>
      <w:r w:rsidRPr="0026014E">
        <w:rPr>
          <w:i/>
          <w:sz w:val="22"/>
          <w:szCs w:val="22"/>
        </w:rPr>
        <w:t xml:space="preserve">Rule of Law and Mechanisms of its Protection – Czech Perspective. </w:t>
      </w:r>
      <w:r w:rsidRPr="0026014E">
        <w:rPr>
          <w:sz w:val="22"/>
          <w:szCs w:val="22"/>
        </w:rPr>
        <w:t>Berlin/Passau: rW&amp;W Science &amp; New Media, 2015, 379 s.</w:t>
      </w:r>
      <w:r w:rsidR="0041491A">
        <w:rPr>
          <w:sz w:val="22"/>
          <w:szCs w:val="22"/>
        </w:rPr>
        <w:t>, 978-3-9816855-4-1</w:t>
      </w:r>
    </w:p>
    <w:p w:rsidR="008D5124" w:rsidRPr="00C60141" w:rsidRDefault="008D5124" w:rsidP="0026014E">
      <w:pPr>
        <w:pStyle w:val="Odstavecseseznamem"/>
        <w:ind w:left="0"/>
        <w:rPr>
          <w:sz w:val="22"/>
          <w:szCs w:val="22"/>
        </w:rPr>
      </w:pPr>
    </w:p>
    <w:p w:rsidR="008D5124" w:rsidRDefault="008D5124" w:rsidP="0026014E">
      <w:pPr>
        <w:pStyle w:val="Odstavecseseznamem"/>
        <w:numPr>
          <w:ilvl w:val="0"/>
          <w:numId w:val="16"/>
        </w:numPr>
        <w:ind w:left="360"/>
        <w:jc w:val="both"/>
        <w:rPr>
          <w:color w:val="333333"/>
          <w:sz w:val="22"/>
          <w:szCs w:val="22"/>
        </w:rPr>
      </w:pPr>
      <w:r w:rsidRPr="0026014E">
        <w:rPr>
          <w:color w:val="333333"/>
          <w:sz w:val="22"/>
          <w:szCs w:val="22"/>
        </w:rPr>
        <w:t>POMAHAČ, R</w:t>
      </w:r>
      <w:r w:rsidR="003E77BC">
        <w:rPr>
          <w:color w:val="333333"/>
          <w:sz w:val="22"/>
          <w:szCs w:val="22"/>
        </w:rPr>
        <w:t xml:space="preserve">.: </w:t>
      </w:r>
      <w:r w:rsidRPr="0026014E">
        <w:rPr>
          <w:color w:val="333333"/>
          <w:sz w:val="22"/>
          <w:szCs w:val="22"/>
        </w:rPr>
        <w:t xml:space="preserve"> Local government in the Czech Republic: History, current position, prospective evolution. In</w:t>
      </w:r>
      <w:r w:rsidR="006B6357">
        <w:rPr>
          <w:color w:val="333333"/>
          <w:sz w:val="22"/>
          <w:szCs w:val="22"/>
        </w:rPr>
        <w:t xml:space="preserve"> </w:t>
      </w:r>
      <w:r w:rsidR="004F51F6">
        <w:rPr>
          <w:color w:val="333333"/>
          <w:sz w:val="22"/>
          <w:szCs w:val="22"/>
        </w:rPr>
        <w:t>PANARA, C., VARNEY, M.</w:t>
      </w:r>
      <w:r w:rsidR="006B6357">
        <w:rPr>
          <w:color w:val="333333"/>
          <w:sz w:val="22"/>
          <w:szCs w:val="22"/>
        </w:rPr>
        <w:t>:</w:t>
      </w:r>
      <w:r w:rsidRPr="0026014E">
        <w:rPr>
          <w:color w:val="333333"/>
          <w:sz w:val="22"/>
          <w:szCs w:val="22"/>
        </w:rPr>
        <w:t xml:space="preserve"> </w:t>
      </w:r>
      <w:r w:rsidRPr="0026014E">
        <w:rPr>
          <w:i/>
          <w:iCs/>
          <w:color w:val="333333"/>
          <w:sz w:val="22"/>
          <w:szCs w:val="22"/>
        </w:rPr>
        <w:t>Local Government in Europe</w:t>
      </w:r>
      <w:r w:rsidR="004F51F6">
        <w:rPr>
          <w:color w:val="333333"/>
          <w:sz w:val="22"/>
          <w:szCs w:val="22"/>
        </w:rPr>
        <w:t xml:space="preserve">, </w:t>
      </w:r>
      <w:r w:rsidRPr="0026014E">
        <w:rPr>
          <w:color w:val="333333"/>
          <w:sz w:val="22"/>
          <w:szCs w:val="22"/>
        </w:rPr>
        <w:t xml:space="preserve">1. vyd. </w:t>
      </w:r>
      <w:r w:rsidR="006B6357" w:rsidRPr="0026014E">
        <w:rPr>
          <w:color w:val="333333"/>
          <w:sz w:val="22"/>
          <w:szCs w:val="22"/>
        </w:rPr>
        <w:t>s. 52</w:t>
      </w:r>
      <w:r w:rsidR="006B6357">
        <w:rPr>
          <w:color w:val="333333"/>
          <w:sz w:val="22"/>
          <w:szCs w:val="22"/>
        </w:rPr>
        <w:t>–</w:t>
      </w:r>
      <w:r w:rsidR="006B6357" w:rsidRPr="0026014E">
        <w:rPr>
          <w:color w:val="333333"/>
          <w:sz w:val="22"/>
          <w:szCs w:val="22"/>
        </w:rPr>
        <w:t xml:space="preserve">72. </w:t>
      </w:r>
      <w:r w:rsidRPr="0026014E">
        <w:rPr>
          <w:color w:val="333333"/>
          <w:sz w:val="22"/>
          <w:szCs w:val="22"/>
        </w:rPr>
        <w:t xml:space="preserve">London: Routledge, 2013, </w:t>
      </w:r>
      <w:r w:rsidR="006B6357">
        <w:rPr>
          <w:color w:val="333333"/>
          <w:sz w:val="22"/>
          <w:szCs w:val="22"/>
        </w:rPr>
        <w:t xml:space="preserve"> 422 s. I</w:t>
      </w:r>
      <w:r w:rsidRPr="0026014E">
        <w:rPr>
          <w:color w:val="333333"/>
          <w:sz w:val="22"/>
          <w:szCs w:val="22"/>
        </w:rPr>
        <w:t>SBN</w:t>
      </w:r>
      <w:r w:rsidR="00811509">
        <w:rPr>
          <w:color w:val="333333"/>
          <w:sz w:val="22"/>
          <w:szCs w:val="22"/>
        </w:rPr>
        <w:t> </w:t>
      </w:r>
      <w:r w:rsidRPr="0026014E">
        <w:rPr>
          <w:color w:val="333333"/>
          <w:sz w:val="22"/>
          <w:szCs w:val="22"/>
        </w:rPr>
        <w:t>978-0-415-58000-7.</w:t>
      </w:r>
    </w:p>
    <w:p w:rsidR="00D55F61" w:rsidRPr="00D55F61" w:rsidRDefault="00D55F61" w:rsidP="00D55F61">
      <w:pPr>
        <w:pStyle w:val="Odstavecseseznamem"/>
        <w:rPr>
          <w:color w:val="333333"/>
          <w:sz w:val="22"/>
          <w:szCs w:val="22"/>
        </w:rPr>
      </w:pPr>
    </w:p>
    <w:p w:rsidR="00D55F61" w:rsidRPr="00D55F61" w:rsidRDefault="00D55F61" w:rsidP="0026014E">
      <w:pPr>
        <w:pStyle w:val="Odstavecseseznamem"/>
        <w:numPr>
          <w:ilvl w:val="0"/>
          <w:numId w:val="16"/>
        </w:numPr>
        <w:ind w:left="360"/>
        <w:jc w:val="both"/>
        <w:rPr>
          <w:sz w:val="22"/>
          <w:szCs w:val="22"/>
        </w:rPr>
      </w:pPr>
      <w:r w:rsidRPr="00D55F61">
        <w:rPr>
          <w:sz w:val="22"/>
          <w:szCs w:val="22"/>
        </w:rPr>
        <w:t xml:space="preserve">TOMOSZKOVÁ, Veronika, Michal SOBOTKA a Vojtěch STEJSKAL. </w:t>
      </w:r>
      <w:r w:rsidRPr="00D55F61">
        <w:rPr>
          <w:i/>
          <w:iCs/>
          <w:sz w:val="22"/>
          <w:szCs w:val="22"/>
        </w:rPr>
        <w:t>Implementation and enforcement of EU environmental law in the Visegrad countries</w:t>
      </w:r>
      <w:r w:rsidRPr="00D55F61">
        <w:rPr>
          <w:sz w:val="22"/>
          <w:szCs w:val="22"/>
        </w:rPr>
        <w:t>. First edition. Olomouc: Univerzita Palackého v Olomouci, 2014, 338 stran. ISBN 978-80-244-4027-9</w:t>
      </w:r>
    </w:p>
    <w:p w:rsidR="004433AE" w:rsidRPr="00C60141" w:rsidRDefault="004433AE" w:rsidP="0026014E">
      <w:pPr>
        <w:pStyle w:val="Odstavecseseznamem"/>
        <w:ind w:left="0"/>
        <w:rPr>
          <w:sz w:val="22"/>
          <w:szCs w:val="22"/>
        </w:rPr>
      </w:pPr>
    </w:p>
    <w:p w:rsidR="00F30B9F" w:rsidRPr="0026014E" w:rsidRDefault="00F30B9F" w:rsidP="0026014E">
      <w:pPr>
        <w:pStyle w:val="Odstavecseseznamem"/>
        <w:numPr>
          <w:ilvl w:val="0"/>
          <w:numId w:val="16"/>
        </w:numPr>
        <w:ind w:left="360"/>
        <w:jc w:val="both"/>
        <w:rPr>
          <w:sz w:val="22"/>
          <w:szCs w:val="22"/>
        </w:rPr>
      </w:pPr>
      <w:r w:rsidRPr="0026014E">
        <w:rPr>
          <w:sz w:val="22"/>
          <w:szCs w:val="22"/>
        </w:rPr>
        <w:t>TOMÁŠEK, M</w:t>
      </w:r>
      <w:r w:rsidR="00811509">
        <w:rPr>
          <w:sz w:val="22"/>
          <w:szCs w:val="22"/>
        </w:rPr>
        <w:t>.:</w:t>
      </w:r>
      <w:r w:rsidRPr="0026014E">
        <w:rPr>
          <w:sz w:val="22"/>
          <w:szCs w:val="22"/>
        </w:rPr>
        <w:t xml:space="preserve"> La culture juridique et l</w:t>
      </w:r>
      <w:r w:rsidR="00342E0D" w:rsidRPr="0026014E">
        <w:rPr>
          <w:sz w:val="22"/>
          <w:szCs w:val="22"/>
        </w:rPr>
        <w:t>´a</w:t>
      </w:r>
      <w:r w:rsidRPr="0026014E">
        <w:rPr>
          <w:sz w:val="22"/>
          <w:szCs w:val="22"/>
        </w:rPr>
        <w:t>cculturation du droit – République tchéque.</w:t>
      </w:r>
      <w:r w:rsidRPr="0026014E">
        <w:rPr>
          <w:i/>
          <w:sz w:val="22"/>
          <w:szCs w:val="22"/>
        </w:rPr>
        <w:t xml:space="preserve"> </w:t>
      </w:r>
      <w:r w:rsidRPr="0026014E">
        <w:rPr>
          <w:sz w:val="22"/>
          <w:szCs w:val="22"/>
        </w:rPr>
        <w:t xml:space="preserve">In: </w:t>
      </w:r>
      <w:r w:rsidR="004A5D79" w:rsidRPr="004A5D79">
        <w:rPr>
          <w:sz w:val="22"/>
          <w:szCs w:val="22"/>
        </w:rPr>
        <w:t>CORDERO, J.</w:t>
      </w:r>
      <w:r w:rsidR="006943D2">
        <w:rPr>
          <w:sz w:val="22"/>
          <w:szCs w:val="22"/>
        </w:rPr>
        <w:t xml:space="preserve"> </w:t>
      </w:r>
      <w:r w:rsidR="004A5D79" w:rsidRPr="004A5D79">
        <w:rPr>
          <w:sz w:val="22"/>
          <w:szCs w:val="22"/>
        </w:rPr>
        <w:t>S</w:t>
      </w:r>
      <w:r w:rsidRPr="0026014E">
        <w:rPr>
          <w:i/>
          <w:sz w:val="22"/>
          <w:szCs w:val="22"/>
        </w:rPr>
        <w:t>.</w:t>
      </w:r>
      <w:r w:rsidR="004A5D79">
        <w:rPr>
          <w:sz w:val="22"/>
          <w:szCs w:val="22"/>
        </w:rPr>
        <w:t>:</w:t>
      </w:r>
      <w:r w:rsidRPr="0026014E">
        <w:rPr>
          <w:i/>
          <w:sz w:val="22"/>
          <w:szCs w:val="22"/>
        </w:rPr>
        <w:t xml:space="preserve"> Legal culture and legal transplants La culture juridique et lácculturation du droit, </w:t>
      </w:r>
      <w:r w:rsidR="004A5D79">
        <w:rPr>
          <w:sz w:val="22"/>
          <w:szCs w:val="22"/>
        </w:rPr>
        <w:t>v</w:t>
      </w:r>
      <w:r w:rsidRPr="004A5D79">
        <w:rPr>
          <w:sz w:val="22"/>
          <w:szCs w:val="22"/>
        </w:rPr>
        <w:t>ol</w:t>
      </w:r>
      <w:r w:rsidR="004A5D79">
        <w:rPr>
          <w:sz w:val="22"/>
          <w:szCs w:val="22"/>
        </w:rPr>
        <w:t>.</w:t>
      </w:r>
      <w:r w:rsidRPr="004A5D79">
        <w:rPr>
          <w:sz w:val="22"/>
          <w:szCs w:val="22"/>
        </w:rPr>
        <w:t xml:space="preserve"> II.</w:t>
      </w:r>
      <w:r w:rsidRPr="0026014E">
        <w:rPr>
          <w:sz w:val="22"/>
          <w:szCs w:val="22"/>
        </w:rPr>
        <w:t xml:space="preserve"> </w:t>
      </w:r>
      <w:r w:rsidR="004A5D79" w:rsidRPr="0026014E">
        <w:rPr>
          <w:sz w:val="22"/>
          <w:szCs w:val="22"/>
        </w:rPr>
        <w:t>s. 817</w:t>
      </w:r>
      <w:r w:rsidR="004A5D79">
        <w:rPr>
          <w:sz w:val="22"/>
          <w:szCs w:val="22"/>
        </w:rPr>
        <w:t>–</w:t>
      </w:r>
      <w:r w:rsidR="004A5D79" w:rsidRPr="0026014E">
        <w:rPr>
          <w:sz w:val="22"/>
          <w:szCs w:val="22"/>
        </w:rPr>
        <w:t>858.</w:t>
      </w:r>
      <w:r w:rsidR="004A5D79">
        <w:rPr>
          <w:sz w:val="22"/>
          <w:szCs w:val="22"/>
        </w:rPr>
        <w:t xml:space="preserve"> </w:t>
      </w:r>
      <w:r w:rsidRPr="0026014E">
        <w:rPr>
          <w:sz w:val="22"/>
          <w:szCs w:val="22"/>
        </w:rPr>
        <w:t>Mexico City: Universidad Nacional Autónoma de México, 2012</w:t>
      </w:r>
      <w:r w:rsidR="004A5D79">
        <w:rPr>
          <w:sz w:val="22"/>
          <w:szCs w:val="22"/>
        </w:rPr>
        <w:t xml:space="preserve">. </w:t>
      </w:r>
      <w:r w:rsidR="006943D2">
        <w:rPr>
          <w:sz w:val="22"/>
          <w:szCs w:val="22"/>
        </w:rPr>
        <w:t xml:space="preserve">      </w:t>
      </w:r>
      <w:r w:rsidR="004A5D79">
        <w:rPr>
          <w:sz w:val="22"/>
          <w:szCs w:val="22"/>
        </w:rPr>
        <w:t>ISBN 878-60702-4021-8</w:t>
      </w:r>
      <w:r w:rsidRPr="0026014E">
        <w:rPr>
          <w:sz w:val="22"/>
          <w:szCs w:val="22"/>
        </w:rPr>
        <w:t xml:space="preserve"> </w:t>
      </w:r>
    </w:p>
    <w:p w:rsidR="00071807" w:rsidRPr="00C60141" w:rsidRDefault="00071807" w:rsidP="0026014E">
      <w:pPr>
        <w:pStyle w:val="Odstavecseseznamem"/>
        <w:ind w:left="0"/>
        <w:rPr>
          <w:sz w:val="22"/>
          <w:szCs w:val="22"/>
        </w:rPr>
      </w:pPr>
    </w:p>
    <w:p w:rsidR="00071807" w:rsidRPr="0026014E" w:rsidRDefault="00071807" w:rsidP="0026014E">
      <w:pPr>
        <w:pStyle w:val="Odstavecseseznamem"/>
        <w:numPr>
          <w:ilvl w:val="0"/>
          <w:numId w:val="16"/>
        </w:numPr>
        <w:ind w:left="360"/>
        <w:jc w:val="both"/>
        <w:rPr>
          <w:sz w:val="22"/>
          <w:szCs w:val="22"/>
        </w:rPr>
      </w:pPr>
      <w:r w:rsidRPr="0026014E">
        <w:rPr>
          <w:sz w:val="22"/>
          <w:szCs w:val="22"/>
        </w:rPr>
        <w:t>TRETERA, J</w:t>
      </w:r>
      <w:r w:rsidR="00811509">
        <w:rPr>
          <w:sz w:val="22"/>
          <w:szCs w:val="22"/>
        </w:rPr>
        <w:t xml:space="preserve">. R., </w:t>
      </w:r>
      <w:r w:rsidRPr="0026014E">
        <w:rPr>
          <w:sz w:val="22"/>
          <w:szCs w:val="22"/>
        </w:rPr>
        <w:t>HORÁK, Z</w:t>
      </w:r>
      <w:r w:rsidR="00811509">
        <w:rPr>
          <w:sz w:val="22"/>
          <w:szCs w:val="22"/>
        </w:rPr>
        <w:t>.:</w:t>
      </w:r>
      <w:r w:rsidRPr="0026014E">
        <w:rPr>
          <w:sz w:val="22"/>
          <w:szCs w:val="22"/>
        </w:rPr>
        <w:t xml:space="preserve"> </w:t>
      </w:r>
      <w:r w:rsidRPr="0026014E">
        <w:rPr>
          <w:i/>
          <w:iCs/>
          <w:sz w:val="22"/>
          <w:szCs w:val="22"/>
        </w:rPr>
        <w:t>Religion and Law in the Czech Republic</w:t>
      </w:r>
      <w:r w:rsidRPr="0026014E">
        <w:rPr>
          <w:sz w:val="22"/>
          <w:szCs w:val="22"/>
        </w:rPr>
        <w:t>. 1. vyd. Alphen aan den Rijn: Kluwer Law International, 2014</w:t>
      </w:r>
      <w:r w:rsidR="00642ED2">
        <w:rPr>
          <w:sz w:val="22"/>
          <w:szCs w:val="22"/>
        </w:rPr>
        <w:t xml:space="preserve">, </w:t>
      </w:r>
      <w:r w:rsidRPr="0026014E">
        <w:rPr>
          <w:sz w:val="22"/>
          <w:szCs w:val="22"/>
        </w:rPr>
        <w:t>128 s. ISBN 978-90-411-5896-3.</w:t>
      </w:r>
    </w:p>
    <w:p w:rsidR="00A8739E" w:rsidRPr="00C60141" w:rsidRDefault="00A8739E" w:rsidP="0026014E">
      <w:pPr>
        <w:pStyle w:val="Odstavecseseznamem"/>
        <w:ind w:left="0"/>
        <w:rPr>
          <w:sz w:val="22"/>
          <w:szCs w:val="22"/>
        </w:rPr>
      </w:pPr>
    </w:p>
    <w:p w:rsidR="00097D74" w:rsidRPr="009E1B60" w:rsidRDefault="009E1B60" w:rsidP="009E1B60">
      <w:pPr>
        <w:keepNext/>
        <w:jc w:val="both"/>
        <w:rPr>
          <w:b/>
        </w:rPr>
      </w:pPr>
      <w:r w:rsidRPr="009E1B60">
        <w:rPr>
          <w:b/>
        </w:rPr>
        <w:t>B.3</w:t>
      </w:r>
    </w:p>
    <w:p w:rsidR="009E1B60" w:rsidRPr="009E1B60" w:rsidRDefault="009E1B60" w:rsidP="009E1B60">
      <w:pPr>
        <w:keepNext/>
        <w:jc w:val="both"/>
        <w:rPr>
          <w:b/>
        </w:rPr>
      </w:pPr>
      <w:r w:rsidRPr="009E1B60">
        <w:rPr>
          <w:b/>
        </w:rPr>
        <w:t>Stručný plán činností na rok 2016</w:t>
      </w:r>
    </w:p>
    <w:p w:rsidR="009E1B60" w:rsidRDefault="009E1B60" w:rsidP="00097D74">
      <w:pPr>
        <w:jc w:val="both"/>
      </w:pPr>
    </w:p>
    <w:p w:rsidR="00CD7DBF" w:rsidRPr="00BB7906" w:rsidRDefault="00CD7DBF" w:rsidP="00097D74">
      <w:pPr>
        <w:jc w:val="both"/>
        <w:rPr>
          <w:sz w:val="22"/>
          <w:szCs w:val="22"/>
        </w:rPr>
      </w:pPr>
      <w:r w:rsidRPr="00BB7906">
        <w:rPr>
          <w:sz w:val="22"/>
          <w:szCs w:val="22"/>
        </w:rPr>
        <w:t>Stěžejní činností bude v průběhu roku 2016 příprava mezinárodní závěrečné konference P04, P05 a</w:t>
      </w:r>
      <w:r w:rsidR="00D40F3C">
        <w:rPr>
          <w:sz w:val="22"/>
          <w:szCs w:val="22"/>
        </w:rPr>
        <w:t> </w:t>
      </w:r>
      <w:r w:rsidRPr="00BB7906">
        <w:rPr>
          <w:sz w:val="22"/>
          <w:szCs w:val="22"/>
        </w:rPr>
        <w:t>P06 o vztahu veře</w:t>
      </w:r>
      <w:r w:rsidR="00C361CC">
        <w:rPr>
          <w:sz w:val="22"/>
          <w:szCs w:val="22"/>
        </w:rPr>
        <w:t>jného a soukromého práva „Soukromé nebo veřejné v soudobém právu“, zejména panelu „Relativizace dualismu veřejného a soukromého práva“.</w:t>
      </w:r>
    </w:p>
    <w:p w:rsidR="00CD7DBF" w:rsidRPr="00BB7906" w:rsidRDefault="00CD7DBF" w:rsidP="00097D74">
      <w:pPr>
        <w:jc w:val="both"/>
        <w:rPr>
          <w:sz w:val="22"/>
          <w:szCs w:val="22"/>
        </w:rPr>
      </w:pPr>
    </w:p>
    <w:p w:rsidR="00CD7DBF" w:rsidRPr="00BB7906" w:rsidRDefault="00CD7DBF" w:rsidP="00097D74">
      <w:pPr>
        <w:jc w:val="both"/>
        <w:rPr>
          <w:sz w:val="22"/>
          <w:szCs w:val="22"/>
        </w:rPr>
      </w:pPr>
      <w:r w:rsidRPr="00BB7906">
        <w:rPr>
          <w:sz w:val="22"/>
          <w:szCs w:val="22"/>
        </w:rPr>
        <w:t>V průběhu roku 2016 jsou plánovány dílčí vědecké konference a semináře jednotlivých řešitelských týmů:</w:t>
      </w:r>
    </w:p>
    <w:p w:rsidR="00CD7DBF" w:rsidRPr="00BB7906" w:rsidRDefault="00CD7DBF" w:rsidP="00097D74">
      <w:pPr>
        <w:jc w:val="both"/>
        <w:rPr>
          <w:sz w:val="22"/>
          <w:szCs w:val="22"/>
        </w:rPr>
      </w:pPr>
    </w:p>
    <w:p w:rsidR="00CD7DBF" w:rsidRPr="00BB7906" w:rsidRDefault="00CD7DBF" w:rsidP="00CD7DBF">
      <w:pPr>
        <w:pStyle w:val="Odstavecseseznamem"/>
        <w:numPr>
          <w:ilvl w:val="0"/>
          <w:numId w:val="17"/>
        </w:numPr>
        <w:jc w:val="both"/>
        <w:rPr>
          <w:sz w:val="22"/>
          <w:szCs w:val="22"/>
        </w:rPr>
      </w:pPr>
      <w:r w:rsidRPr="00BB7906">
        <w:rPr>
          <w:sz w:val="22"/>
          <w:szCs w:val="22"/>
        </w:rPr>
        <w:t>Právní aspekty migrace (s P</w:t>
      </w:r>
      <w:r w:rsidR="00D10C2E">
        <w:rPr>
          <w:sz w:val="22"/>
          <w:szCs w:val="22"/>
        </w:rPr>
        <w:t xml:space="preserve"> </w:t>
      </w:r>
      <w:r w:rsidRPr="00BB7906">
        <w:rPr>
          <w:sz w:val="22"/>
          <w:szCs w:val="22"/>
        </w:rPr>
        <w:t>04) – evropské právo, správní právo;</w:t>
      </w:r>
    </w:p>
    <w:p w:rsidR="00CD7DBF" w:rsidRPr="00BB7906" w:rsidRDefault="00C45ED0" w:rsidP="00CD7DBF">
      <w:pPr>
        <w:pStyle w:val="Odstavecseseznamem"/>
        <w:numPr>
          <w:ilvl w:val="0"/>
          <w:numId w:val="17"/>
        </w:numPr>
        <w:jc w:val="both"/>
        <w:rPr>
          <w:sz w:val="22"/>
          <w:szCs w:val="22"/>
        </w:rPr>
      </w:pPr>
      <w:r w:rsidRPr="00BB7906">
        <w:rPr>
          <w:sz w:val="22"/>
          <w:szCs w:val="22"/>
        </w:rPr>
        <w:t>Zkušenosti s aplikací správního řádu (s P 04) – správní právo;</w:t>
      </w:r>
    </w:p>
    <w:p w:rsidR="002130BB" w:rsidRPr="00BB7906" w:rsidRDefault="002130BB" w:rsidP="00CD7DBF">
      <w:pPr>
        <w:pStyle w:val="Odstavecseseznamem"/>
        <w:numPr>
          <w:ilvl w:val="0"/>
          <w:numId w:val="17"/>
        </w:numPr>
        <w:jc w:val="both"/>
        <w:rPr>
          <w:sz w:val="22"/>
          <w:szCs w:val="22"/>
        </w:rPr>
      </w:pPr>
      <w:r w:rsidRPr="00BB7906">
        <w:rPr>
          <w:sz w:val="22"/>
          <w:szCs w:val="22"/>
        </w:rPr>
        <w:t>Trestní právo procesní minulost a přítomnost. K odkazu prof. JUDr. Antonína Růžka – trestní právo, správní právo, právní dějiny;</w:t>
      </w:r>
    </w:p>
    <w:p w:rsidR="00BB7906" w:rsidRPr="00BB7906" w:rsidRDefault="00BB7906" w:rsidP="00BB7906">
      <w:pPr>
        <w:pStyle w:val="Odstavecseseznamem"/>
        <w:numPr>
          <w:ilvl w:val="0"/>
          <w:numId w:val="17"/>
        </w:numPr>
        <w:rPr>
          <w:sz w:val="22"/>
          <w:szCs w:val="22"/>
        </w:rPr>
      </w:pPr>
      <w:r w:rsidRPr="00BB7906">
        <w:rPr>
          <w:color w:val="262B33"/>
          <w:sz w:val="22"/>
          <w:szCs w:val="22"/>
          <w:shd w:val="clear" w:color="auto" w:fill="FFFFFF"/>
        </w:rPr>
        <w:t>Konference o realizaci důchodové reformy – právo sociálního zabezpečení;</w:t>
      </w:r>
    </w:p>
    <w:p w:rsidR="00B6293C" w:rsidRDefault="00B6293C" w:rsidP="00CD7DBF">
      <w:pPr>
        <w:pStyle w:val="Odstavecseseznamem"/>
        <w:numPr>
          <w:ilvl w:val="0"/>
          <w:numId w:val="17"/>
        </w:numPr>
        <w:jc w:val="both"/>
        <w:rPr>
          <w:sz w:val="22"/>
          <w:szCs w:val="22"/>
        </w:rPr>
      </w:pPr>
      <w:r w:rsidRPr="00BB7906">
        <w:rPr>
          <w:sz w:val="22"/>
          <w:szCs w:val="22"/>
        </w:rPr>
        <w:t>Právní aspekty jaderné energetiky (</w:t>
      </w:r>
      <w:r w:rsidRPr="00BB7906">
        <w:rPr>
          <w:i/>
          <w:sz w:val="22"/>
          <w:szCs w:val="22"/>
        </w:rPr>
        <w:t>Aspects juridiques d´atome“</w:t>
      </w:r>
      <w:r w:rsidRPr="00BB7906">
        <w:rPr>
          <w:sz w:val="22"/>
          <w:szCs w:val="22"/>
        </w:rPr>
        <w:t>) – evropské právo, právo životního prostředí, správní právo – ve spolupráci s </w:t>
      </w:r>
      <w:r w:rsidR="001D5E26">
        <w:rPr>
          <w:sz w:val="22"/>
          <w:szCs w:val="22"/>
        </w:rPr>
        <w:t>f</w:t>
      </w:r>
      <w:r w:rsidR="00B32DE8">
        <w:rPr>
          <w:sz w:val="22"/>
          <w:szCs w:val="22"/>
        </w:rPr>
        <w:t>rancouzským velvyslanectvím;</w:t>
      </w:r>
    </w:p>
    <w:p w:rsidR="00FC6ABC" w:rsidRDefault="00FC6ABC" w:rsidP="00FC6ABC">
      <w:pPr>
        <w:pStyle w:val="Odstavecseseznamem"/>
        <w:numPr>
          <w:ilvl w:val="0"/>
          <w:numId w:val="17"/>
        </w:numPr>
        <w:jc w:val="both"/>
        <w:rPr>
          <w:sz w:val="22"/>
          <w:szCs w:val="22"/>
        </w:rPr>
      </w:pPr>
      <w:r w:rsidRPr="008B4688">
        <w:rPr>
          <w:sz w:val="22"/>
          <w:szCs w:val="22"/>
        </w:rPr>
        <w:t>Elektronická evidence tržeb, ústavněprávní a finančněprávní aspekty – finanční právo, ústavní právo</w:t>
      </w:r>
    </w:p>
    <w:p w:rsidR="00B32DE8" w:rsidRPr="00BB7906" w:rsidRDefault="00B32DE8" w:rsidP="00CD7DBF">
      <w:pPr>
        <w:pStyle w:val="Odstavecseseznamem"/>
        <w:numPr>
          <w:ilvl w:val="0"/>
          <w:numId w:val="17"/>
        </w:numPr>
        <w:jc w:val="both"/>
        <w:rPr>
          <w:sz w:val="22"/>
          <w:szCs w:val="22"/>
        </w:rPr>
      </w:pPr>
      <w:r>
        <w:rPr>
          <w:sz w:val="22"/>
          <w:szCs w:val="22"/>
        </w:rPr>
        <w:t>Aktuální otázky daňového práva – finanční právo, správní právo, trestní právo.</w:t>
      </w:r>
    </w:p>
    <w:p w:rsidR="002130BB" w:rsidRPr="00BB7906" w:rsidRDefault="002130BB" w:rsidP="00F81A76">
      <w:pPr>
        <w:jc w:val="both"/>
        <w:rPr>
          <w:sz w:val="22"/>
          <w:szCs w:val="22"/>
        </w:rPr>
      </w:pPr>
    </w:p>
    <w:p w:rsidR="00F81A76" w:rsidRPr="00BB7906" w:rsidRDefault="00F81A76" w:rsidP="00F81A76">
      <w:pPr>
        <w:jc w:val="both"/>
        <w:rPr>
          <w:sz w:val="22"/>
          <w:szCs w:val="22"/>
        </w:rPr>
      </w:pPr>
      <w:r w:rsidRPr="00BB7906">
        <w:rPr>
          <w:sz w:val="22"/>
          <w:szCs w:val="22"/>
        </w:rPr>
        <w:t xml:space="preserve">Z publikačních výstupů předpokládáme </w:t>
      </w:r>
      <w:r w:rsidR="00A40053" w:rsidRPr="00BB7906">
        <w:rPr>
          <w:sz w:val="22"/>
          <w:szCs w:val="22"/>
        </w:rPr>
        <w:t>kolektivní monografii jako výstup z konference k odkazu prof.</w:t>
      </w:r>
      <w:r w:rsidR="001D5E26">
        <w:rPr>
          <w:sz w:val="22"/>
          <w:szCs w:val="22"/>
        </w:rPr>
        <w:t> </w:t>
      </w:r>
      <w:r w:rsidR="00A40053" w:rsidRPr="00BB7906">
        <w:rPr>
          <w:sz w:val="22"/>
          <w:szCs w:val="22"/>
        </w:rPr>
        <w:t xml:space="preserve">JUDr. Antonína Růžka. Dále </w:t>
      </w:r>
      <w:r w:rsidRPr="00BB7906">
        <w:rPr>
          <w:sz w:val="22"/>
          <w:szCs w:val="22"/>
        </w:rPr>
        <w:t>dokončení monografie „Teorie finančního práva a finanční vědy“, která by se měla stát základní odbornou vědeckou publikací v oboru a měla by shrnovat aktuální stav poznání v oblasti finančního práva a finanční vědy. V nakladatelství Karolinum vyjde první díl dvoudílné monografie prof. Michala Tomáška „</w:t>
      </w:r>
      <w:r w:rsidR="00A40053" w:rsidRPr="00BB7906">
        <w:rPr>
          <w:sz w:val="22"/>
          <w:szCs w:val="22"/>
        </w:rPr>
        <w:t>P</w:t>
      </w:r>
      <w:r w:rsidRPr="00BB7906">
        <w:rPr>
          <w:sz w:val="22"/>
          <w:szCs w:val="22"/>
        </w:rPr>
        <w:t>rávní systémy Dálného východu“</w:t>
      </w:r>
      <w:r w:rsidR="00687EFA">
        <w:rPr>
          <w:sz w:val="22"/>
          <w:szCs w:val="22"/>
        </w:rPr>
        <w:t>.</w:t>
      </w:r>
    </w:p>
    <w:p w:rsidR="007C3070" w:rsidRDefault="007C3070" w:rsidP="00097D74">
      <w:pPr>
        <w:jc w:val="both"/>
      </w:pPr>
    </w:p>
    <w:p w:rsidR="009E1B60" w:rsidRPr="009E1B60" w:rsidRDefault="009E1B60" w:rsidP="009E1B60">
      <w:pPr>
        <w:keepNext/>
        <w:jc w:val="both"/>
        <w:rPr>
          <w:b/>
        </w:rPr>
      </w:pPr>
      <w:r w:rsidRPr="009E1B60">
        <w:rPr>
          <w:b/>
        </w:rPr>
        <w:t>B.4</w:t>
      </w:r>
    </w:p>
    <w:p w:rsidR="009E1B60" w:rsidRPr="009E1B60" w:rsidRDefault="009E1B60" w:rsidP="009E1B60">
      <w:pPr>
        <w:keepNext/>
        <w:jc w:val="both"/>
        <w:rPr>
          <w:b/>
        </w:rPr>
      </w:pPr>
      <w:r w:rsidRPr="009E1B60">
        <w:rPr>
          <w:b/>
        </w:rPr>
        <w:t>Případná aktualizace přihlášky programu</w:t>
      </w:r>
    </w:p>
    <w:p w:rsidR="009E1B60" w:rsidRPr="00C236A3" w:rsidRDefault="009E1B60" w:rsidP="00097D74">
      <w:pPr>
        <w:jc w:val="both"/>
        <w:rPr>
          <w:i/>
          <w:sz w:val="22"/>
          <w:szCs w:val="22"/>
        </w:rPr>
      </w:pPr>
      <w:r w:rsidRPr="00C236A3">
        <w:rPr>
          <w:i/>
          <w:sz w:val="22"/>
          <w:szCs w:val="22"/>
        </w:rPr>
        <w:t>Pokud některých plánovaných cílů programu uvedených v části j) nebo h) přihlášky programu nebylo ani nebude moci být dosaženo, zpracujte aktualizaci těchto částí přihlášky a adekvátní zdůvodnění.</w:t>
      </w:r>
    </w:p>
    <w:p w:rsidR="009E1B60" w:rsidRPr="009E1B60" w:rsidRDefault="009E1B60" w:rsidP="00097D74">
      <w:pPr>
        <w:jc w:val="both"/>
      </w:pPr>
    </w:p>
    <w:p w:rsidR="007363A8" w:rsidRDefault="00C236A3" w:rsidP="00C236A3">
      <w:pPr>
        <w:keepNext/>
        <w:jc w:val="both"/>
        <w:rPr>
          <w:b/>
        </w:rPr>
      </w:pPr>
      <w:r>
        <w:rPr>
          <w:b/>
        </w:rPr>
        <w:t>B.5</w:t>
      </w:r>
    </w:p>
    <w:p w:rsidR="00C236A3" w:rsidRPr="00C236A3" w:rsidRDefault="00C236A3" w:rsidP="00C236A3">
      <w:pPr>
        <w:keepNext/>
        <w:jc w:val="both"/>
      </w:pPr>
      <w:r>
        <w:rPr>
          <w:b/>
        </w:rPr>
        <w:t xml:space="preserve">Stručná charakteristika mezifakultní spolupráce </w:t>
      </w:r>
      <w:r w:rsidRPr="00C236A3">
        <w:t>(zpracujte jen u společných programů více fakult / VŠ ústavů UK)</w:t>
      </w:r>
    </w:p>
    <w:p w:rsidR="00C236A3" w:rsidRPr="00C236A3" w:rsidRDefault="00C236A3" w:rsidP="00097D74">
      <w:pPr>
        <w:jc w:val="both"/>
        <w:rPr>
          <w:i/>
          <w:sz w:val="22"/>
          <w:szCs w:val="22"/>
        </w:rPr>
      </w:pPr>
      <w:r w:rsidRPr="00C236A3">
        <w:rPr>
          <w:i/>
          <w:sz w:val="22"/>
          <w:szCs w:val="22"/>
        </w:rPr>
        <w:t>Stručně charakterizujte dosavadní mezifakultní spolupráci, její přínosy a případná úskalí.</w:t>
      </w:r>
    </w:p>
    <w:p w:rsidR="007363A8" w:rsidRDefault="007363A8" w:rsidP="00097D74">
      <w:pPr>
        <w:jc w:val="both"/>
        <w:rPr>
          <w:b/>
        </w:rPr>
      </w:pPr>
    </w:p>
    <w:p w:rsidR="007363A8" w:rsidRDefault="007363A8" w:rsidP="00097D74">
      <w:pPr>
        <w:jc w:val="both"/>
        <w:rPr>
          <w:b/>
        </w:rPr>
      </w:pPr>
    </w:p>
    <w:p w:rsidR="007363A8" w:rsidRDefault="007363A8" w:rsidP="00097D74">
      <w:pPr>
        <w:jc w:val="both"/>
        <w:rPr>
          <w:b/>
        </w:rPr>
      </w:pPr>
    </w:p>
    <w:p w:rsidR="007363A8" w:rsidRDefault="007363A8" w:rsidP="00097D74">
      <w:pPr>
        <w:jc w:val="both"/>
        <w:rPr>
          <w:b/>
        </w:rPr>
      </w:pPr>
    </w:p>
    <w:p w:rsidR="000212A1" w:rsidRDefault="000212A1" w:rsidP="00097D74">
      <w:pPr>
        <w:jc w:val="both"/>
      </w:pPr>
    </w:p>
    <w:p w:rsidR="000212A1" w:rsidRPr="005543BA" w:rsidRDefault="000212A1" w:rsidP="000212A1">
      <w:pPr>
        <w:jc w:val="both"/>
        <w:rPr>
          <w:b/>
        </w:rPr>
      </w:pPr>
      <w:r w:rsidRPr="005543BA">
        <w:rPr>
          <w:b/>
        </w:rPr>
        <w:t>Datum a podpis koordinátora:</w:t>
      </w:r>
      <w:r>
        <w:rPr>
          <w:b/>
        </w:rPr>
        <w:tab/>
      </w:r>
      <w:r>
        <w:rPr>
          <w:b/>
        </w:rPr>
        <w:tab/>
        <w:t>...................................................................</w:t>
      </w:r>
    </w:p>
    <w:p w:rsidR="000212A1" w:rsidRDefault="000212A1" w:rsidP="000212A1">
      <w:pPr>
        <w:jc w:val="both"/>
      </w:pPr>
    </w:p>
    <w:p w:rsidR="000212A1" w:rsidRDefault="000212A1" w:rsidP="000212A1">
      <w:pPr>
        <w:jc w:val="both"/>
      </w:pPr>
    </w:p>
    <w:p w:rsidR="000212A1" w:rsidRPr="00D05817" w:rsidRDefault="000212A1" w:rsidP="000212A1">
      <w:pPr>
        <w:keepNext/>
        <w:jc w:val="both"/>
        <w:rPr>
          <w:b/>
        </w:rPr>
      </w:pPr>
      <w:r w:rsidRPr="00D05817">
        <w:rPr>
          <w:b/>
        </w:rPr>
        <w:t>Podpis děkana/ředitele:</w:t>
      </w:r>
    </w:p>
    <w:p w:rsidR="000212A1" w:rsidRPr="006B132B" w:rsidRDefault="000212A1" w:rsidP="000212A1">
      <w:pPr>
        <w:keepNext/>
        <w:jc w:val="both"/>
        <w:rPr>
          <w:b/>
          <w:highlight w:val="cyan"/>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4927"/>
      </w:tblGrid>
      <w:tr w:rsidR="000212A1" w:rsidRPr="00306C9A" w:rsidTr="00D05817">
        <w:trPr>
          <w:cantSplit/>
          <w:tblHeader/>
        </w:trPr>
        <w:tc>
          <w:tcPr>
            <w:tcW w:w="1242" w:type="dxa"/>
            <w:tcBorders>
              <w:top w:val="double" w:sz="4" w:space="0" w:color="auto"/>
              <w:bottom w:val="double" w:sz="4" w:space="0" w:color="auto"/>
            </w:tcBorders>
            <w:shd w:val="clear" w:color="auto" w:fill="E0E0E0"/>
            <w:vAlign w:val="center"/>
          </w:tcPr>
          <w:p w:rsidR="000212A1" w:rsidRPr="00306C9A" w:rsidRDefault="000212A1" w:rsidP="002D1438">
            <w:pPr>
              <w:keepNext/>
              <w:jc w:val="center"/>
              <w:rPr>
                <w:b/>
              </w:rPr>
            </w:pPr>
            <w:r w:rsidRPr="00306C9A">
              <w:rPr>
                <w:b/>
              </w:rPr>
              <w:t>Fakulta</w:t>
            </w:r>
            <w:r w:rsidR="002B0820">
              <w:rPr>
                <w:b/>
              </w:rPr>
              <w:t xml:space="preserve"> </w:t>
            </w:r>
            <w:r w:rsidRPr="00306C9A">
              <w:rPr>
                <w:b/>
              </w:rPr>
              <w:t>/</w:t>
            </w:r>
          </w:p>
          <w:p w:rsidR="000212A1" w:rsidRPr="00306C9A" w:rsidRDefault="002B0820" w:rsidP="002D1438">
            <w:pPr>
              <w:keepNext/>
              <w:jc w:val="center"/>
              <w:rPr>
                <w:b/>
              </w:rPr>
            </w:pPr>
            <w:r>
              <w:rPr>
                <w:b/>
              </w:rPr>
              <w:t>VŠ ústav</w:t>
            </w:r>
          </w:p>
        </w:tc>
        <w:tc>
          <w:tcPr>
            <w:tcW w:w="3119" w:type="dxa"/>
            <w:tcBorders>
              <w:top w:val="double" w:sz="4" w:space="0" w:color="auto"/>
              <w:bottom w:val="double" w:sz="4" w:space="0" w:color="auto"/>
            </w:tcBorders>
            <w:shd w:val="clear" w:color="auto" w:fill="E0E0E0"/>
            <w:vAlign w:val="center"/>
          </w:tcPr>
          <w:p w:rsidR="000212A1" w:rsidRPr="00306C9A" w:rsidRDefault="000212A1" w:rsidP="002D1438">
            <w:pPr>
              <w:jc w:val="center"/>
              <w:rPr>
                <w:b/>
              </w:rPr>
            </w:pPr>
            <w:r w:rsidRPr="00306C9A">
              <w:rPr>
                <w:b/>
              </w:rPr>
              <w:t>Jméno, příjmení, titul děkana/ředitele</w:t>
            </w:r>
          </w:p>
        </w:tc>
        <w:tc>
          <w:tcPr>
            <w:tcW w:w="4927" w:type="dxa"/>
            <w:tcBorders>
              <w:top w:val="double" w:sz="4" w:space="0" w:color="auto"/>
              <w:bottom w:val="double" w:sz="4" w:space="0" w:color="auto"/>
            </w:tcBorders>
            <w:shd w:val="clear" w:color="auto" w:fill="E0E0E0"/>
            <w:vAlign w:val="center"/>
          </w:tcPr>
          <w:p w:rsidR="000212A1" w:rsidRPr="00306C9A" w:rsidRDefault="000212A1" w:rsidP="002D1438">
            <w:pPr>
              <w:jc w:val="center"/>
              <w:rPr>
                <w:b/>
              </w:rPr>
            </w:pPr>
            <w:r w:rsidRPr="00306C9A">
              <w:rPr>
                <w:b/>
              </w:rPr>
              <w:t>Datum a podpis děkana/ředitele</w:t>
            </w:r>
          </w:p>
        </w:tc>
      </w:tr>
      <w:tr w:rsidR="00D05817" w:rsidTr="00D05817">
        <w:trPr>
          <w:cantSplit/>
          <w:trHeight w:val="1304"/>
        </w:trPr>
        <w:tc>
          <w:tcPr>
            <w:tcW w:w="1242" w:type="dxa"/>
            <w:shd w:val="clear" w:color="auto" w:fill="auto"/>
            <w:vAlign w:val="center"/>
          </w:tcPr>
          <w:p w:rsidR="00D05817" w:rsidRPr="0000164E" w:rsidRDefault="00D05817" w:rsidP="00B36CD3">
            <w:r w:rsidRPr="0000164E">
              <w:t>Právnická fakulta</w:t>
            </w:r>
          </w:p>
        </w:tc>
        <w:tc>
          <w:tcPr>
            <w:tcW w:w="3119" w:type="dxa"/>
            <w:shd w:val="clear" w:color="auto" w:fill="auto"/>
            <w:vAlign w:val="center"/>
          </w:tcPr>
          <w:p w:rsidR="00D05817" w:rsidRPr="00AA61E0" w:rsidRDefault="00D05817" w:rsidP="00B36CD3">
            <w:pPr>
              <w:rPr>
                <w:color w:val="FF0000"/>
              </w:rPr>
            </w:pPr>
            <w:r w:rsidRPr="00452AE7">
              <w:t>prof. JUDr. Jan Kuklík, DrSc.</w:t>
            </w:r>
          </w:p>
        </w:tc>
        <w:tc>
          <w:tcPr>
            <w:tcW w:w="4927" w:type="dxa"/>
            <w:shd w:val="clear" w:color="auto" w:fill="auto"/>
            <w:vAlign w:val="center"/>
          </w:tcPr>
          <w:p w:rsidR="00D05817" w:rsidRDefault="00D05817" w:rsidP="002D1438"/>
        </w:tc>
      </w:tr>
    </w:tbl>
    <w:p w:rsidR="000212A1" w:rsidRDefault="000212A1" w:rsidP="005F220B"/>
    <w:sectPr w:rsidR="000212A1">
      <w:headerReference w:type="even" r:id="rId9"/>
      <w:headerReference w:type="default" r:id="rId10"/>
      <w:footerReference w:type="even"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D3" w:rsidRDefault="00B36CD3" w:rsidP="000212A1">
      <w:r>
        <w:separator/>
      </w:r>
    </w:p>
  </w:endnote>
  <w:endnote w:type="continuationSeparator" w:id="0">
    <w:p w:rsidR="00B36CD3" w:rsidRDefault="00B36CD3" w:rsidP="0002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D3" w:rsidRDefault="00B36CD3" w:rsidP="002D1438">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end"/>
    </w:r>
  </w:p>
  <w:p w:rsidR="00B36CD3" w:rsidRDefault="00B36CD3" w:rsidP="002D1438">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D3" w:rsidRDefault="00B36CD3" w:rsidP="002D1438">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7B76BC">
      <w:rPr>
        <w:rStyle w:val="slostrnky"/>
        <w:noProof/>
      </w:rPr>
      <w:t>1</w:t>
    </w:r>
    <w:r>
      <w:rPr>
        <w:rStyle w:val="slostrnky"/>
      </w:rPr>
      <w:fldChar w:fldCharType="end"/>
    </w:r>
  </w:p>
  <w:p w:rsidR="00B36CD3" w:rsidRDefault="00B36CD3" w:rsidP="002D1438">
    <w:pPr>
      <w:pStyle w:val="Zpa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D3" w:rsidRDefault="00B36CD3" w:rsidP="000212A1">
      <w:r>
        <w:separator/>
      </w:r>
    </w:p>
  </w:footnote>
  <w:footnote w:type="continuationSeparator" w:id="0">
    <w:p w:rsidR="00B36CD3" w:rsidRDefault="00B36CD3" w:rsidP="000212A1">
      <w:r>
        <w:continuationSeparator/>
      </w:r>
    </w:p>
  </w:footnote>
  <w:footnote w:id="1">
    <w:p w:rsidR="00B36CD3" w:rsidRPr="004A12F7" w:rsidRDefault="00B36CD3" w:rsidP="00670202">
      <w:pPr>
        <w:pStyle w:val="Textpoznpodarou"/>
        <w:spacing w:after="60"/>
        <w:jc w:val="both"/>
        <w:rPr>
          <w:sz w:val="22"/>
          <w:szCs w:val="22"/>
        </w:rPr>
      </w:pPr>
      <w:r w:rsidRPr="004A12F7">
        <w:rPr>
          <w:rStyle w:val="Znakapoznpodarou"/>
          <w:sz w:val="22"/>
          <w:szCs w:val="22"/>
        </w:rPr>
        <w:footnoteRef/>
      </w:r>
      <w:r w:rsidRPr="004A12F7">
        <w:rPr>
          <w:sz w:val="22"/>
          <w:szCs w:val="22"/>
        </w:rPr>
        <w:t xml:space="preserve"> Minimální rozsah článku v recenzovaném periodiku: 5 stran. Kratší studie, stejně jako recenze, zprávy z konferencí a příspěvky do nerecenzovaných sborníků uvádějte jako</w:t>
      </w:r>
      <w:r>
        <w:rPr>
          <w:sz w:val="22"/>
          <w:szCs w:val="22"/>
        </w:rPr>
        <w:t xml:space="preserve"> „</w:t>
      </w:r>
      <w:r w:rsidRPr="004A12F7">
        <w:rPr>
          <w:sz w:val="22"/>
          <w:szCs w:val="22"/>
        </w:rPr>
        <w:t>jiný výsledek“.</w:t>
      </w:r>
    </w:p>
  </w:footnote>
  <w:footnote w:id="2">
    <w:p w:rsidR="00B36CD3" w:rsidRPr="006B4154" w:rsidRDefault="00B36CD3" w:rsidP="00670202">
      <w:pPr>
        <w:pStyle w:val="Textpoznpodarou"/>
        <w:spacing w:after="60"/>
        <w:jc w:val="both"/>
        <w:rPr>
          <w:sz w:val="22"/>
          <w:szCs w:val="22"/>
        </w:rPr>
      </w:pPr>
      <w:r w:rsidRPr="006B4154">
        <w:rPr>
          <w:rStyle w:val="Znakapoznpodarou"/>
          <w:sz w:val="22"/>
          <w:szCs w:val="22"/>
        </w:rPr>
        <w:footnoteRef/>
      </w:r>
      <w:r w:rsidRPr="006B4154">
        <w:rPr>
          <w:sz w:val="22"/>
          <w:szCs w:val="22"/>
        </w:rPr>
        <w:t xml:space="preserve"> Uvádějte finanční prostředky na PRVOUK </w:t>
      </w:r>
      <w:r w:rsidRPr="006B4154">
        <w:rPr>
          <w:b/>
          <w:sz w:val="22"/>
          <w:szCs w:val="22"/>
        </w:rPr>
        <w:t>bez bonifikace společných programů; nezahrnujte ani prostředky převedené za rok 2014 do FÚUP</w:t>
      </w:r>
      <w:r w:rsidRPr="006B4154">
        <w:rPr>
          <w:sz w:val="22"/>
          <w:szCs w:val="22"/>
        </w:rPr>
        <w:t>. V řádku „FÚUP“ uveďte vždy částku nedočerpanou v roce 2015 a převedenou do FÚUP pro využití v roce 2016.</w:t>
      </w:r>
    </w:p>
  </w:footnote>
  <w:footnote w:id="3">
    <w:p w:rsidR="00B36CD3" w:rsidRPr="00F0566D" w:rsidRDefault="00B36CD3" w:rsidP="00670202">
      <w:pPr>
        <w:pStyle w:val="Textpoznpodarou"/>
        <w:spacing w:after="60"/>
        <w:jc w:val="both"/>
        <w:rPr>
          <w:sz w:val="22"/>
          <w:szCs w:val="22"/>
        </w:rPr>
      </w:pPr>
      <w:r w:rsidRPr="009E1B60">
        <w:rPr>
          <w:rStyle w:val="Znakapoznpodarou"/>
          <w:sz w:val="22"/>
          <w:szCs w:val="22"/>
        </w:rPr>
        <w:footnoteRef/>
      </w:r>
      <w:r w:rsidRPr="009E1B60">
        <w:rPr>
          <w:sz w:val="22"/>
          <w:szCs w:val="22"/>
        </w:rPr>
        <w:t xml:space="preserve"> tj. </w:t>
      </w:r>
      <w:r w:rsidRPr="00F0566D">
        <w:rPr>
          <w:sz w:val="22"/>
          <w:szCs w:val="22"/>
        </w:rPr>
        <w:t>aktuálně v hodnotě nad 2 mil. Kč bez DPH</w:t>
      </w:r>
    </w:p>
  </w:footnote>
  <w:footnote w:id="4">
    <w:p w:rsidR="00B36CD3" w:rsidRPr="00F0566D" w:rsidRDefault="00B36CD3" w:rsidP="00670202">
      <w:pPr>
        <w:pStyle w:val="Textpoznpodarou"/>
        <w:spacing w:after="60"/>
        <w:jc w:val="both"/>
        <w:rPr>
          <w:sz w:val="22"/>
          <w:szCs w:val="22"/>
        </w:rPr>
      </w:pPr>
      <w:r w:rsidRPr="00F0566D">
        <w:rPr>
          <w:rStyle w:val="Znakapoznpodarou"/>
          <w:sz w:val="22"/>
          <w:szCs w:val="22"/>
        </w:rPr>
        <w:footnoteRef/>
      </w:r>
      <w:r w:rsidRPr="00F0566D">
        <w:rPr>
          <w:sz w:val="22"/>
          <w:szCs w:val="22"/>
        </w:rPr>
        <w:t xml:space="preserve"> návrh klíčových kroků pro kvalitativní zlepšení postavení vědní oblasti na UK v národním a zejména mezinárodním kontextu v horizontu doby uskutečňování programu, zdůvodnění a rámcový harmonogram těchto kroků, indikátory tohoto zlepšení</w:t>
      </w:r>
    </w:p>
  </w:footnote>
  <w:footnote w:id="5">
    <w:p w:rsidR="00B36CD3" w:rsidRPr="00F0566D" w:rsidRDefault="00B36CD3" w:rsidP="00670202">
      <w:pPr>
        <w:pStyle w:val="Textpoznpodarou"/>
        <w:jc w:val="both"/>
        <w:rPr>
          <w:sz w:val="22"/>
          <w:szCs w:val="22"/>
        </w:rPr>
      </w:pPr>
      <w:r w:rsidRPr="00F0566D">
        <w:rPr>
          <w:rStyle w:val="Znakapoznpodarou"/>
          <w:sz w:val="22"/>
          <w:szCs w:val="22"/>
        </w:rPr>
        <w:footnoteRef/>
      </w:r>
      <w:r w:rsidRPr="00F0566D">
        <w:rPr>
          <w:sz w:val="22"/>
          <w:szCs w:val="22"/>
        </w:rPr>
        <w:t xml:space="preserve"> popis programu, včetně návaznosti na dosavadní vědecké výsledky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D3" w:rsidRDefault="00B36C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D3" w:rsidRDefault="00B36CD3" w:rsidP="00FF290C">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D3" w:rsidRDefault="00B36C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98D"/>
    <w:multiLevelType w:val="hybridMultilevel"/>
    <w:tmpl w:val="3FF02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0C446A"/>
    <w:multiLevelType w:val="hybridMultilevel"/>
    <w:tmpl w:val="95902476"/>
    <w:lvl w:ilvl="0" w:tplc="1218721E">
      <w:start w:val="1"/>
      <w:numFmt w:val="decimal"/>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30E5DFC"/>
    <w:multiLevelType w:val="hybridMultilevel"/>
    <w:tmpl w:val="B956C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464B2C"/>
    <w:multiLevelType w:val="hybridMultilevel"/>
    <w:tmpl w:val="308CE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0C6A18"/>
    <w:multiLevelType w:val="hybridMultilevel"/>
    <w:tmpl w:val="BB52B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66C1720"/>
    <w:multiLevelType w:val="hybridMultilevel"/>
    <w:tmpl w:val="A838D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77A00DD"/>
    <w:multiLevelType w:val="multilevel"/>
    <w:tmpl w:val="992C9348"/>
    <w:styleLink w:val="sla-zvorky"/>
    <w:lvl w:ilvl="0">
      <w:start w:val="1"/>
      <w:numFmt w:val="decimal"/>
      <w:lvlText w:val="%1)"/>
      <w:lvlJc w:val="left"/>
      <w:pPr>
        <w:tabs>
          <w:tab w:val="num" w:pos="567"/>
        </w:tabs>
        <w:ind w:left="567" w:hanging="567"/>
      </w:pPr>
      <w:rPr>
        <w:rFonts w:ascii="Calibri" w:hAnsi="Calibri" w:hint="default"/>
        <w:sz w:val="22"/>
      </w:rPr>
    </w:lvl>
    <w:lvl w:ilvl="1">
      <w:start w:val="1"/>
      <w:numFmt w:val="decimal"/>
      <w:lvlText w:val="%2)"/>
      <w:lvlJc w:val="left"/>
      <w:pPr>
        <w:tabs>
          <w:tab w:val="num" w:pos="1134"/>
        </w:tabs>
        <w:ind w:left="1134" w:hanging="567"/>
      </w:pPr>
      <w:rPr>
        <w:rFonts w:ascii="Calibri" w:hAnsi="Calibri" w:hint="default"/>
        <w:sz w:val="22"/>
      </w:rPr>
    </w:lvl>
    <w:lvl w:ilvl="2">
      <w:start w:val="1"/>
      <w:numFmt w:val="decimal"/>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decimal"/>
      <w:lvlText w:val="%5)"/>
      <w:lvlJc w:val="left"/>
      <w:pPr>
        <w:tabs>
          <w:tab w:val="num" w:pos="2835"/>
        </w:tabs>
        <w:ind w:left="2835" w:hanging="567"/>
      </w:pPr>
      <w:rPr>
        <w:rFonts w:ascii="Calibri" w:hAnsi="Calibri" w:hint="default"/>
        <w:sz w:val="22"/>
      </w:rPr>
    </w:lvl>
    <w:lvl w:ilvl="5">
      <w:start w:val="1"/>
      <w:numFmt w:val="decimal"/>
      <w:lvlText w:val="%6)"/>
      <w:lvlJc w:val="left"/>
      <w:pPr>
        <w:tabs>
          <w:tab w:val="num" w:pos="3402"/>
        </w:tabs>
        <w:ind w:left="3402" w:hanging="567"/>
      </w:pPr>
      <w:rPr>
        <w:rFonts w:ascii="Calibri" w:hAnsi="Calibri" w:hint="default"/>
        <w:sz w:val="22"/>
      </w:rPr>
    </w:lvl>
    <w:lvl w:ilvl="6">
      <w:start w:val="1"/>
      <w:numFmt w:val="decimal"/>
      <w:lvlText w:val="%7)"/>
      <w:lvlJc w:val="left"/>
      <w:pPr>
        <w:tabs>
          <w:tab w:val="num" w:pos="3969"/>
        </w:tabs>
        <w:ind w:left="3969" w:hanging="567"/>
      </w:pPr>
      <w:rPr>
        <w:rFonts w:ascii="Calibri" w:hAnsi="Calibri" w:hint="default"/>
        <w:sz w:val="22"/>
      </w:rPr>
    </w:lvl>
    <w:lvl w:ilvl="7">
      <w:start w:val="1"/>
      <w:numFmt w:val="decimal"/>
      <w:lvlText w:val="%8)"/>
      <w:lvlJc w:val="left"/>
      <w:pPr>
        <w:tabs>
          <w:tab w:val="num" w:pos="4536"/>
        </w:tabs>
        <w:ind w:left="4536" w:hanging="567"/>
      </w:pPr>
      <w:rPr>
        <w:rFonts w:ascii="Calibri" w:hAnsi="Calibri" w:hint="default"/>
        <w:sz w:val="22"/>
      </w:rPr>
    </w:lvl>
    <w:lvl w:ilvl="8">
      <w:start w:val="1"/>
      <w:numFmt w:val="decimal"/>
      <w:lvlText w:val="%9)"/>
      <w:lvlJc w:val="left"/>
      <w:pPr>
        <w:tabs>
          <w:tab w:val="num" w:pos="5103"/>
        </w:tabs>
        <w:ind w:left="5103" w:hanging="567"/>
      </w:pPr>
      <w:rPr>
        <w:rFonts w:hint="default"/>
      </w:rPr>
    </w:lvl>
  </w:abstractNum>
  <w:abstractNum w:abstractNumId="7">
    <w:nsid w:val="10356FCB"/>
    <w:multiLevelType w:val="hybridMultilevel"/>
    <w:tmpl w:val="0478D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01242D"/>
    <w:multiLevelType w:val="hybridMultilevel"/>
    <w:tmpl w:val="06844BF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2D1453"/>
    <w:multiLevelType w:val="hybridMultilevel"/>
    <w:tmpl w:val="E87443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231277"/>
    <w:multiLevelType w:val="hybridMultilevel"/>
    <w:tmpl w:val="2FD68F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2332BAD"/>
    <w:multiLevelType w:val="hybridMultilevel"/>
    <w:tmpl w:val="838E7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BF6215"/>
    <w:multiLevelType w:val="hybridMultilevel"/>
    <w:tmpl w:val="F06E5922"/>
    <w:lvl w:ilvl="0" w:tplc="97C83B8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34B307ED"/>
    <w:multiLevelType w:val="hybridMultilevel"/>
    <w:tmpl w:val="604EE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0540B2"/>
    <w:multiLevelType w:val="multilevel"/>
    <w:tmpl w:val="D932E714"/>
    <w:styleLink w:val="Odrkypuntky"/>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5">
    <w:nsid w:val="37F57EDA"/>
    <w:multiLevelType w:val="hybridMultilevel"/>
    <w:tmpl w:val="6E425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BF7B75"/>
    <w:multiLevelType w:val="hybridMultilevel"/>
    <w:tmpl w:val="FCAAAC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3D093C28"/>
    <w:multiLevelType w:val="hybridMultilevel"/>
    <w:tmpl w:val="1A2C89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43D0C64"/>
    <w:multiLevelType w:val="hybridMultilevel"/>
    <w:tmpl w:val="7774FD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E766B9"/>
    <w:multiLevelType w:val="hybridMultilevel"/>
    <w:tmpl w:val="31D886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D3B0584"/>
    <w:multiLevelType w:val="multilevel"/>
    <w:tmpl w:val="D932E714"/>
    <w:numStyleLink w:val="Odrkypuntky"/>
  </w:abstractNum>
  <w:abstractNum w:abstractNumId="21">
    <w:nsid w:val="50214A4D"/>
    <w:multiLevelType w:val="hybridMultilevel"/>
    <w:tmpl w:val="85D6D7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67BD7FB7"/>
    <w:multiLevelType w:val="hybridMultilevel"/>
    <w:tmpl w:val="C83E6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E574BC9"/>
    <w:multiLevelType w:val="hybridMultilevel"/>
    <w:tmpl w:val="6AB04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0F65E0B"/>
    <w:multiLevelType w:val="multilevel"/>
    <w:tmpl w:val="992C9348"/>
    <w:numStyleLink w:val="sla-zvorky"/>
  </w:abstractNum>
  <w:abstractNum w:abstractNumId="25">
    <w:nsid w:val="7810597A"/>
    <w:multiLevelType w:val="hybridMultilevel"/>
    <w:tmpl w:val="D8DAAC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BE309E3"/>
    <w:multiLevelType w:val="hybridMultilevel"/>
    <w:tmpl w:val="301E3FC0"/>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7">
    <w:nsid w:val="7EE14E6F"/>
    <w:multiLevelType w:val="hybridMultilevel"/>
    <w:tmpl w:val="7610C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6"/>
  </w:num>
  <w:num w:numId="3">
    <w:abstractNumId w:val="16"/>
  </w:num>
  <w:num w:numId="4">
    <w:abstractNumId w:val="6"/>
  </w:num>
  <w:num w:numId="5">
    <w:abstractNumId w:val="24"/>
  </w:num>
  <w:num w:numId="6">
    <w:abstractNumId w:val="12"/>
  </w:num>
  <w:num w:numId="7">
    <w:abstractNumId w:val="11"/>
  </w:num>
  <w:num w:numId="8">
    <w:abstractNumId w:val="18"/>
  </w:num>
  <w:num w:numId="9">
    <w:abstractNumId w:val="1"/>
  </w:num>
  <w:num w:numId="10">
    <w:abstractNumId w:val="15"/>
  </w:num>
  <w:num w:numId="11">
    <w:abstractNumId w:val="4"/>
  </w:num>
  <w:num w:numId="12">
    <w:abstractNumId w:val="7"/>
  </w:num>
  <w:num w:numId="13">
    <w:abstractNumId w:val="3"/>
  </w:num>
  <w:num w:numId="14">
    <w:abstractNumId w:val="9"/>
  </w:num>
  <w:num w:numId="15">
    <w:abstractNumId w:val="17"/>
  </w:num>
  <w:num w:numId="16">
    <w:abstractNumId w:val="5"/>
  </w:num>
  <w:num w:numId="17">
    <w:abstractNumId w:val="21"/>
  </w:num>
  <w:num w:numId="18">
    <w:abstractNumId w:val="27"/>
  </w:num>
  <w:num w:numId="19">
    <w:abstractNumId w:val="10"/>
  </w:num>
  <w:num w:numId="20">
    <w:abstractNumId w:val="14"/>
  </w:num>
  <w:num w:numId="21">
    <w:abstractNumId w:val="20"/>
  </w:num>
  <w:num w:numId="22">
    <w:abstractNumId w:val="0"/>
  </w:num>
  <w:num w:numId="23">
    <w:abstractNumId w:val="8"/>
  </w:num>
  <w:num w:numId="24">
    <w:abstractNumId w:val="22"/>
  </w:num>
  <w:num w:numId="25">
    <w:abstractNumId w:val="23"/>
  </w:num>
  <w:num w:numId="26">
    <w:abstractNumId w:val="2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A1"/>
    <w:rsid w:val="00001BDD"/>
    <w:rsid w:val="0000387D"/>
    <w:rsid w:val="00012D95"/>
    <w:rsid w:val="000212A1"/>
    <w:rsid w:val="000458F2"/>
    <w:rsid w:val="000528AB"/>
    <w:rsid w:val="00054FA3"/>
    <w:rsid w:val="00071807"/>
    <w:rsid w:val="000842FD"/>
    <w:rsid w:val="00093CF3"/>
    <w:rsid w:val="00097D74"/>
    <w:rsid w:val="000A639A"/>
    <w:rsid w:val="000B3313"/>
    <w:rsid w:val="000B3A1E"/>
    <w:rsid w:val="000C0E52"/>
    <w:rsid w:val="000C5403"/>
    <w:rsid w:val="000D2E4D"/>
    <w:rsid w:val="000D32F2"/>
    <w:rsid w:val="000F2C8E"/>
    <w:rsid w:val="000F699E"/>
    <w:rsid w:val="0011557F"/>
    <w:rsid w:val="00125DAE"/>
    <w:rsid w:val="00132D73"/>
    <w:rsid w:val="001625D0"/>
    <w:rsid w:val="001633BB"/>
    <w:rsid w:val="00166464"/>
    <w:rsid w:val="001C6D51"/>
    <w:rsid w:val="001D5E26"/>
    <w:rsid w:val="001D6F4F"/>
    <w:rsid w:val="001E2952"/>
    <w:rsid w:val="00200185"/>
    <w:rsid w:val="0021267C"/>
    <w:rsid w:val="002130BB"/>
    <w:rsid w:val="002157EE"/>
    <w:rsid w:val="00215A3C"/>
    <w:rsid w:val="00217317"/>
    <w:rsid w:val="00230266"/>
    <w:rsid w:val="002313AC"/>
    <w:rsid w:val="0023726F"/>
    <w:rsid w:val="00253AE9"/>
    <w:rsid w:val="0026014E"/>
    <w:rsid w:val="00270F66"/>
    <w:rsid w:val="00283127"/>
    <w:rsid w:val="0028334C"/>
    <w:rsid w:val="0028410C"/>
    <w:rsid w:val="00291FCE"/>
    <w:rsid w:val="002971F1"/>
    <w:rsid w:val="002B0820"/>
    <w:rsid w:val="002B13B2"/>
    <w:rsid w:val="002B4A0F"/>
    <w:rsid w:val="002C101E"/>
    <w:rsid w:val="002D1438"/>
    <w:rsid w:val="002F527C"/>
    <w:rsid w:val="002F7E87"/>
    <w:rsid w:val="00301C6C"/>
    <w:rsid w:val="0031376F"/>
    <w:rsid w:val="00322D81"/>
    <w:rsid w:val="00323AB2"/>
    <w:rsid w:val="00335D54"/>
    <w:rsid w:val="00342E0D"/>
    <w:rsid w:val="003503C9"/>
    <w:rsid w:val="00353925"/>
    <w:rsid w:val="00362071"/>
    <w:rsid w:val="00364A43"/>
    <w:rsid w:val="003677C4"/>
    <w:rsid w:val="003C5E05"/>
    <w:rsid w:val="003C7528"/>
    <w:rsid w:val="003E561A"/>
    <w:rsid w:val="003E77BC"/>
    <w:rsid w:val="003F0499"/>
    <w:rsid w:val="0041491A"/>
    <w:rsid w:val="00416091"/>
    <w:rsid w:val="004212EC"/>
    <w:rsid w:val="004368BD"/>
    <w:rsid w:val="004433AE"/>
    <w:rsid w:val="00452783"/>
    <w:rsid w:val="00453368"/>
    <w:rsid w:val="00460AD3"/>
    <w:rsid w:val="004630F3"/>
    <w:rsid w:val="004638A3"/>
    <w:rsid w:val="00463BC4"/>
    <w:rsid w:val="00471A69"/>
    <w:rsid w:val="00473612"/>
    <w:rsid w:val="0047492C"/>
    <w:rsid w:val="00481060"/>
    <w:rsid w:val="004832A7"/>
    <w:rsid w:val="0048378F"/>
    <w:rsid w:val="00483BF4"/>
    <w:rsid w:val="00485EA4"/>
    <w:rsid w:val="004924E8"/>
    <w:rsid w:val="004966E2"/>
    <w:rsid w:val="004A0B3F"/>
    <w:rsid w:val="004A12F7"/>
    <w:rsid w:val="004A5D79"/>
    <w:rsid w:val="004B4410"/>
    <w:rsid w:val="004F0784"/>
    <w:rsid w:val="004F51F6"/>
    <w:rsid w:val="00502DB8"/>
    <w:rsid w:val="00506DF2"/>
    <w:rsid w:val="0051240A"/>
    <w:rsid w:val="00526058"/>
    <w:rsid w:val="00547FED"/>
    <w:rsid w:val="005516FA"/>
    <w:rsid w:val="00552C35"/>
    <w:rsid w:val="005537AD"/>
    <w:rsid w:val="005562BE"/>
    <w:rsid w:val="00556A8C"/>
    <w:rsid w:val="00575135"/>
    <w:rsid w:val="00584F67"/>
    <w:rsid w:val="00586EC9"/>
    <w:rsid w:val="00587146"/>
    <w:rsid w:val="00590D26"/>
    <w:rsid w:val="00591880"/>
    <w:rsid w:val="00595A8C"/>
    <w:rsid w:val="005970D0"/>
    <w:rsid w:val="005B121F"/>
    <w:rsid w:val="005C6B15"/>
    <w:rsid w:val="005D0732"/>
    <w:rsid w:val="005E7A58"/>
    <w:rsid w:val="005E7C50"/>
    <w:rsid w:val="005F220B"/>
    <w:rsid w:val="005F6946"/>
    <w:rsid w:val="00607742"/>
    <w:rsid w:val="00615E3C"/>
    <w:rsid w:val="00642ED2"/>
    <w:rsid w:val="0064755F"/>
    <w:rsid w:val="006603C4"/>
    <w:rsid w:val="00661B8F"/>
    <w:rsid w:val="00665AAD"/>
    <w:rsid w:val="00670202"/>
    <w:rsid w:val="00687EFA"/>
    <w:rsid w:val="0069038B"/>
    <w:rsid w:val="006943D2"/>
    <w:rsid w:val="006A744D"/>
    <w:rsid w:val="006B4154"/>
    <w:rsid w:val="006B6357"/>
    <w:rsid w:val="006D4F1A"/>
    <w:rsid w:val="006F0CBC"/>
    <w:rsid w:val="006F73C0"/>
    <w:rsid w:val="00710A51"/>
    <w:rsid w:val="0072469F"/>
    <w:rsid w:val="0073201D"/>
    <w:rsid w:val="007352A8"/>
    <w:rsid w:val="007363A8"/>
    <w:rsid w:val="00740207"/>
    <w:rsid w:val="00765057"/>
    <w:rsid w:val="00766DAA"/>
    <w:rsid w:val="00770B60"/>
    <w:rsid w:val="0077666A"/>
    <w:rsid w:val="00777259"/>
    <w:rsid w:val="00790087"/>
    <w:rsid w:val="007B0877"/>
    <w:rsid w:val="007B6068"/>
    <w:rsid w:val="007B7681"/>
    <w:rsid w:val="007B76BC"/>
    <w:rsid w:val="007C3070"/>
    <w:rsid w:val="007C42B6"/>
    <w:rsid w:val="007D1C9F"/>
    <w:rsid w:val="007D43C3"/>
    <w:rsid w:val="007E3C0C"/>
    <w:rsid w:val="007E4619"/>
    <w:rsid w:val="008045A7"/>
    <w:rsid w:val="00807926"/>
    <w:rsid w:val="00811509"/>
    <w:rsid w:val="00856861"/>
    <w:rsid w:val="0086422D"/>
    <w:rsid w:val="0087512D"/>
    <w:rsid w:val="0089242E"/>
    <w:rsid w:val="00892E47"/>
    <w:rsid w:val="008B6A7F"/>
    <w:rsid w:val="008D5124"/>
    <w:rsid w:val="008E01BF"/>
    <w:rsid w:val="008E10DD"/>
    <w:rsid w:val="008E1A32"/>
    <w:rsid w:val="008E2BDB"/>
    <w:rsid w:val="008E6BAC"/>
    <w:rsid w:val="008F6C12"/>
    <w:rsid w:val="00933297"/>
    <w:rsid w:val="00945DDA"/>
    <w:rsid w:val="00960718"/>
    <w:rsid w:val="00960A34"/>
    <w:rsid w:val="00970425"/>
    <w:rsid w:val="00976533"/>
    <w:rsid w:val="0098621F"/>
    <w:rsid w:val="00993D5B"/>
    <w:rsid w:val="009970E4"/>
    <w:rsid w:val="00997B8D"/>
    <w:rsid w:val="009A2042"/>
    <w:rsid w:val="009C5703"/>
    <w:rsid w:val="009D0BD5"/>
    <w:rsid w:val="009D1FB4"/>
    <w:rsid w:val="009D2574"/>
    <w:rsid w:val="009E0398"/>
    <w:rsid w:val="009E1B60"/>
    <w:rsid w:val="009E47BB"/>
    <w:rsid w:val="009E7855"/>
    <w:rsid w:val="009F454A"/>
    <w:rsid w:val="00A227A8"/>
    <w:rsid w:val="00A2295F"/>
    <w:rsid w:val="00A254E6"/>
    <w:rsid w:val="00A32B1E"/>
    <w:rsid w:val="00A37DD5"/>
    <w:rsid w:val="00A40053"/>
    <w:rsid w:val="00A55596"/>
    <w:rsid w:val="00A61AE1"/>
    <w:rsid w:val="00A67A41"/>
    <w:rsid w:val="00A73B14"/>
    <w:rsid w:val="00A8739E"/>
    <w:rsid w:val="00AA6C21"/>
    <w:rsid w:val="00AA7148"/>
    <w:rsid w:val="00AC7A34"/>
    <w:rsid w:val="00AE3C7F"/>
    <w:rsid w:val="00AE7F5A"/>
    <w:rsid w:val="00AF10B5"/>
    <w:rsid w:val="00B07BCD"/>
    <w:rsid w:val="00B1417A"/>
    <w:rsid w:val="00B16FCA"/>
    <w:rsid w:val="00B32DE8"/>
    <w:rsid w:val="00B34C35"/>
    <w:rsid w:val="00B36CD3"/>
    <w:rsid w:val="00B44F0F"/>
    <w:rsid w:val="00B45B80"/>
    <w:rsid w:val="00B52575"/>
    <w:rsid w:val="00B6293C"/>
    <w:rsid w:val="00B63D6B"/>
    <w:rsid w:val="00B75016"/>
    <w:rsid w:val="00B77DDB"/>
    <w:rsid w:val="00BA5519"/>
    <w:rsid w:val="00BB5C59"/>
    <w:rsid w:val="00BB7906"/>
    <w:rsid w:val="00BD0485"/>
    <w:rsid w:val="00BE029A"/>
    <w:rsid w:val="00BE429E"/>
    <w:rsid w:val="00BF7A24"/>
    <w:rsid w:val="00C02C2C"/>
    <w:rsid w:val="00C236A3"/>
    <w:rsid w:val="00C361CC"/>
    <w:rsid w:val="00C437F5"/>
    <w:rsid w:val="00C44EC4"/>
    <w:rsid w:val="00C45ED0"/>
    <w:rsid w:val="00C55377"/>
    <w:rsid w:val="00C55930"/>
    <w:rsid w:val="00C60141"/>
    <w:rsid w:val="00C64A84"/>
    <w:rsid w:val="00C734E6"/>
    <w:rsid w:val="00C8351B"/>
    <w:rsid w:val="00C8541E"/>
    <w:rsid w:val="00C8564B"/>
    <w:rsid w:val="00C92308"/>
    <w:rsid w:val="00C93348"/>
    <w:rsid w:val="00CA0293"/>
    <w:rsid w:val="00CA4094"/>
    <w:rsid w:val="00CB6AA5"/>
    <w:rsid w:val="00CC2297"/>
    <w:rsid w:val="00CC33B8"/>
    <w:rsid w:val="00CD4A89"/>
    <w:rsid w:val="00CD7DBF"/>
    <w:rsid w:val="00CE37AF"/>
    <w:rsid w:val="00CE6C3E"/>
    <w:rsid w:val="00CF1F96"/>
    <w:rsid w:val="00CF31F4"/>
    <w:rsid w:val="00D05817"/>
    <w:rsid w:val="00D10C2E"/>
    <w:rsid w:val="00D126F1"/>
    <w:rsid w:val="00D210B9"/>
    <w:rsid w:val="00D2759E"/>
    <w:rsid w:val="00D31F4C"/>
    <w:rsid w:val="00D36714"/>
    <w:rsid w:val="00D40F3C"/>
    <w:rsid w:val="00D46175"/>
    <w:rsid w:val="00D47D5D"/>
    <w:rsid w:val="00D50967"/>
    <w:rsid w:val="00D534E7"/>
    <w:rsid w:val="00D54472"/>
    <w:rsid w:val="00D54F27"/>
    <w:rsid w:val="00D55F61"/>
    <w:rsid w:val="00D6639D"/>
    <w:rsid w:val="00D66A35"/>
    <w:rsid w:val="00D85DFD"/>
    <w:rsid w:val="00D860E3"/>
    <w:rsid w:val="00D908B1"/>
    <w:rsid w:val="00DA6B26"/>
    <w:rsid w:val="00DB00F5"/>
    <w:rsid w:val="00DB2EC1"/>
    <w:rsid w:val="00DD3578"/>
    <w:rsid w:val="00DF413F"/>
    <w:rsid w:val="00E00E12"/>
    <w:rsid w:val="00E056B9"/>
    <w:rsid w:val="00E0723E"/>
    <w:rsid w:val="00E23E08"/>
    <w:rsid w:val="00E330CD"/>
    <w:rsid w:val="00E368E4"/>
    <w:rsid w:val="00E46650"/>
    <w:rsid w:val="00E50DE4"/>
    <w:rsid w:val="00E51898"/>
    <w:rsid w:val="00E6345A"/>
    <w:rsid w:val="00E6402C"/>
    <w:rsid w:val="00E716AA"/>
    <w:rsid w:val="00E72AEF"/>
    <w:rsid w:val="00E72BDD"/>
    <w:rsid w:val="00E7513E"/>
    <w:rsid w:val="00E75888"/>
    <w:rsid w:val="00E86331"/>
    <w:rsid w:val="00E874B8"/>
    <w:rsid w:val="00E972DF"/>
    <w:rsid w:val="00EA6737"/>
    <w:rsid w:val="00EA712F"/>
    <w:rsid w:val="00EB35D8"/>
    <w:rsid w:val="00EC2F59"/>
    <w:rsid w:val="00ED19C2"/>
    <w:rsid w:val="00EE1B67"/>
    <w:rsid w:val="00EF2694"/>
    <w:rsid w:val="00F0566D"/>
    <w:rsid w:val="00F05845"/>
    <w:rsid w:val="00F05E70"/>
    <w:rsid w:val="00F30B9F"/>
    <w:rsid w:val="00F32CF6"/>
    <w:rsid w:val="00F3329D"/>
    <w:rsid w:val="00F33CB8"/>
    <w:rsid w:val="00F4652D"/>
    <w:rsid w:val="00F46EB3"/>
    <w:rsid w:val="00F558ED"/>
    <w:rsid w:val="00F60726"/>
    <w:rsid w:val="00F62A17"/>
    <w:rsid w:val="00F64E19"/>
    <w:rsid w:val="00F66B61"/>
    <w:rsid w:val="00F745B1"/>
    <w:rsid w:val="00F81A76"/>
    <w:rsid w:val="00F857D7"/>
    <w:rsid w:val="00F95E7B"/>
    <w:rsid w:val="00FA2A36"/>
    <w:rsid w:val="00FC6ABC"/>
    <w:rsid w:val="00FF2634"/>
    <w:rsid w:val="00FF290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2A1"/>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212A1"/>
    <w:pPr>
      <w:tabs>
        <w:tab w:val="center" w:pos="4536"/>
        <w:tab w:val="right" w:pos="9072"/>
      </w:tabs>
    </w:pPr>
  </w:style>
  <w:style w:type="character" w:customStyle="1" w:styleId="ZpatChar">
    <w:name w:val="Zápatí Char"/>
    <w:basedOn w:val="Standardnpsmoodstavce"/>
    <w:link w:val="Zpat"/>
    <w:rsid w:val="000212A1"/>
    <w:rPr>
      <w:rFonts w:eastAsia="Times New Roman" w:cs="Times New Roman"/>
      <w:szCs w:val="24"/>
      <w:lang w:eastAsia="cs-CZ"/>
    </w:rPr>
  </w:style>
  <w:style w:type="character" w:styleId="slostrnky">
    <w:name w:val="page number"/>
    <w:basedOn w:val="Standardnpsmoodstavce"/>
    <w:rsid w:val="000212A1"/>
  </w:style>
  <w:style w:type="paragraph" w:styleId="Textpoznpodarou">
    <w:name w:val="footnote text"/>
    <w:basedOn w:val="Normln"/>
    <w:link w:val="TextpoznpodarouChar"/>
    <w:semiHidden/>
    <w:rsid w:val="000212A1"/>
    <w:rPr>
      <w:sz w:val="20"/>
      <w:szCs w:val="20"/>
    </w:rPr>
  </w:style>
  <w:style w:type="character" w:customStyle="1" w:styleId="TextpoznpodarouChar">
    <w:name w:val="Text pozn. pod čarou Char"/>
    <w:basedOn w:val="Standardnpsmoodstavce"/>
    <w:link w:val="Textpoznpodarou"/>
    <w:semiHidden/>
    <w:rsid w:val="000212A1"/>
    <w:rPr>
      <w:rFonts w:eastAsia="Times New Roman" w:cs="Times New Roman"/>
      <w:sz w:val="20"/>
      <w:szCs w:val="20"/>
      <w:lang w:eastAsia="cs-CZ"/>
    </w:rPr>
  </w:style>
  <w:style w:type="character" w:styleId="Znakapoznpodarou">
    <w:name w:val="footnote reference"/>
    <w:semiHidden/>
    <w:rsid w:val="000212A1"/>
    <w:rPr>
      <w:vertAlign w:val="superscript"/>
    </w:rPr>
  </w:style>
  <w:style w:type="paragraph" w:styleId="Zhlav">
    <w:name w:val="header"/>
    <w:basedOn w:val="Normln"/>
    <w:link w:val="ZhlavChar"/>
    <w:rsid w:val="000212A1"/>
    <w:pPr>
      <w:tabs>
        <w:tab w:val="center" w:pos="4536"/>
        <w:tab w:val="right" w:pos="9072"/>
      </w:tabs>
    </w:pPr>
  </w:style>
  <w:style w:type="character" w:customStyle="1" w:styleId="ZhlavChar">
    <w:name w:val="Záhlaví Char"/>
    <w:basedOn w:val="Standardnpsmoodstavce"/>
    <w:link w:val="Zhlav"/>
    <w:rsid w:val="000212A1"/>
    <w:rPr>
      <w:rFonts w:eastAsia="Times New Roman" w:cs="Times New Roman"/>
      <w:szCs w:val="24"/>
      <w:lang w:eastAsia="cs-CZ"/>
    </w:rPr>
  </w:style>
  <w:style w:type="paragraph" w:styleId="Odstavecseseznamem">
    <w:name w:val="List Paragraph"/>
    <w:basedOn w:val="Normln"/>
    <w:uiPriority w:val="34"/>
    <w:qFormat/>
    <w:rsid w:val="000212A1"/>
    <w:pPr>
      <w:ind w:left="720"/>
      <w:contextualSpacing/>
    </w:pPr>
  </w:style>
  <w:style w:type="table" w:styleId="Mkatabulky">
    <w:name w:val="Table Grid"/>
    <w:basedOn w:val="Normlntabulka"/>
    <w:uiPriority w:val="59"/>
    <w:rsid w:val="004A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3726F"/>
    <w:rPr>
      <w:rFonts w:ascii="Tahoma" w:hAnsi="Tahoma" w:cs="Tahoma"/>
      <w:sz w:val="16"/>
      <w:szCs w:val="16"/>
    </w:rPr>
  </w:style>
  <w:style w:type="character" w:customStyle="1" w:styleId="TextbublinyChar">
    <w:name w:val="Text bubliny Char"/>
    <w:basedOn w:val="Standardnpsmoodstavce"/>
    <w:link w:val="Textbubliny"/>
    <w:uiPriority w:val="99"/>
    <w:semiHidden/>
    <w:rsid w:val="0023726F"/>
    <w:rPr>
      <w:rFonts w:ascii="Tahoma" w:eastAsia="Times New Roman" w:hAnsi="Tahoma" w:cs="Tahoma"/>
      <w:sz w:val="16"/>
      <w:szCs w:val="16"/>
      <w:lang w:eastAsia="cs-CZ"/>
    </w:rPr>
  </w:style>
  <w:style w:type="character" w:styleId="Siln">
    <w:name w:val="Strong"/>
    <w:uiPriority w:val="22"/>
    <w:qFormat/>
    <w:rsid w:val="00E72BDD"/>
    <w:rPr>
      <w:b/>
      <w:bCs/>
    </w:rPr>
  </w:style>
  <w:style w:type="character" w:customStyle="1" w:styleId="apple-converted-space">
    <w:name w:val="apple-converted-space"/>
    <w:basedOn w:val="Standardnpsmoodstavce"/>
    <w:rsid w:val="00E72BDD"/>
  </w:style>
  <w:style w:type="paragraph" w:styleId="Normlnweb">
    <w:name w:val="Normal (Web)"/>
    <w:basedOn w:val="Normln"/>
    <w:uiPriority w:val="99"/>
    <w:unhideWhenUsed/>
    <w:rsid w:val="004A0B3F"/>
    <w:pPr>
      <w:spacing w:before="100" w:beforeAutospacing="1" w:after="119"/>
    </w:pPr>
  </w:style>
  <w:style w:type="character" w:customStyle="1" w:styleId="obdpole34">
    <w:name w:val="obd_pole_34"/>
    <w:rsid w:val="00584F67"/>
  </w:style>
  <w:style w:type="paragraph" w:styleId="Zkladntext2">
    <w:name w:val="Body Text 2"/>
    <w:basedOn w:val="Normln"/>
    <w:link w:val="Zkladntext2Char"/>
    <w:rsid w:val="007352A8"/>
    <w:pPr>
      <w:jc w:val="both"/>
    </w:pPr>
    <w:rPr>
      <w:sz w:val="28"/>
    </w:rPr>
  </w:style>
  <w:style w:type="character" w:customStyle="1" w:styleId="Zkladntext2Char">
    <w:name w:val="Základní text 2 Char"/>
    <w:basedOn w:val="Standardnpsmoodstavce"/>
    <w:link w:val="Zkladntext2"/>
    <w:rsid w:val="007352A8"/>
    <w:rPr>
      <w:rFonts w:eastAsia="Times New Roman" w:cs="Times New Roman"/>
      <w:sz w:val="28"/>
      <w:szCs w:val="24"/>
      <w:lang w:eastAsia="cs-CZ"/>
    </w:rPr>
  </w:style>
  <w:style w:type="character" w:customStyle="1" w:styleId="hps">
    <w:name w:val="hps"/>
    <w:basedOn w:val="Standardnpsmoodstavce"/>
    <w:rsid w:val="002F527C"/>
  </w:style>
  <w:style w:type="paragraph" w:styleId="FormtovanvHTML">
    <w:name w:val="HTML Preformatted"/>
    <w:basedOn w:val="Normln"/>
    <w:link w:val="FormtovanvHTMLChar"/>
    <w:uiPriority w:val="99"/>
    <w:unhideWhenUsed/>
    <w:rsid w:val="002F5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2F527C"/>
    <w:rPr>
      <w:rFonts w:ascii="Courier New" w:eastAsia="Times New Roman" w:hAnsi="Courier New" w:cs="Courier New"/>
      <w:sz w:val="20"/>
      <w:szCs w:val="20"/>
      <w:lang w:eastAsia="cs-CZ"/>
    </w:rPr>
  </w:style>
  <w:style w:type="numbering" w:customStyle="1" w:styleId="sla-zvorky">
    <w:name w:val="Čísla - závorky"/>
    <w:rsid w:val="00856861"/>
    <w:pPr>
      <w:numPr>
        <w:numId w:val="4"/>
      </w:numPr>
    </w:pPr>
  </w:style>
  <w:style w:type="paragraph" w:customStyle="1" w:styleId="Bn">
    <w:name w:val="Běžný"/>
    <w:basedOn w:val="Normln"/>
    <w:rsid w:val="00E72AEF"/>
    <w:pPr>
      <w:widowControl w:val="0"/>
      <w:suppressAutoHyphens/>
      <w:spacing w:after="120"/>
      <w:jc w:val="both"/>
    </w:pPr>
    <w:rPr>
      <w:rFonts w:eastAsia="Lucida Sans Unicode"/>
    </w:rPr>
  </w:style>
  <w:style w:type="numbering" w:customStyle="1" w:styleId="Odrkypuntky">
    <w:name w:val="Odrážky puntíky"/>
    <w:rsid w:val="009F454A"/>
    <w:pPr>
      <w:numPr>
        <w:numId w:val="20"/>
      </w:numPr>
    </w:pPr>
  </w:style>
  <w:style w:type="character" w:styleId="Zvraznn">
    <w:name w:val="Emphasis"/>
    <w:basedOn w:val="Standardnpsmoodstavce"/>
    <w:uiPriority w:val="20"/>
    <w:qFormat/>
    <w:rsid w:val="00E863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2A1"/>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212A1"/>
    <w:pPr>
      <w:tabs>
        <w:tab w:val="center" w:pos="4536"/>
        <w:tab w:val="right" w:pos="9072"/>
      </w:tabs>
    </w:pPr>
  </w:style>
  <w:style w:type="character" w:customStyle="1" w:styleId="ZpatChar">
    <w:name w:val="Zápatí Char"/>
    <w:basedOn w:val="Standardnpsmoodstavce"/>
    <w:link w:val="Zpat"/>
    <w:rsid w:val="000212A1"/>
    <w:rPr>
      <w:rFonts w:eastAsia="Times New Roman" w:cs="Times New Roman"/>
      <w:szCs w:val="24"/>
      <w:lang w:eastAsia="cs-CZ"/>
    </w:rPr>
  </w:style>
  <w:style w:type="character" w:styleId="slostrnky">
    <w:name w:val="page number"/>
    <w:basedOn w:val="Standardnpsmoodstavce"/>
    <w:rsid w:val="000212A1"/>
  </w:style>
  <w:style w:type="paragraph" w:styleId="Textpoznpodarou">
    <w:name w:val="footnote text"/>
    <w:basedOn w:val="Normln"/>
    <w:link w:val="TextpoznpodarouChar"/>
    <w:semiHidden/>
    <w:rsid w:val="000212A1"/>
    <w:rPr>
      <w:sz w:val="20"/>
      <w:szCs w:val="20"/>
    </w:rPr>
  </w:style>
  <w:style w:type="character" w:customStyle="1" w:styleId="TextpoznpodarouChar">
    <w:name w:val="Text pozn. pod čarou Char"/>
    <w:basedOn w:val="Standardnpsmoodstavce"/>
    <w:link w:val="Textpoznpodarou"/>
    <w:semiHidden/>
    <w:rsid w:val="000212A1"/>
    <w:rPr>
      <w:rFonts w:eastAsia="Times New Roman" w:cs="Times New Roman"/>
      <w:sz w:val="20"/>
      <w:szCs w:val="20"/>
      <w:lang w:eastAsia="cs-CZ"/>
    </w:rPr>
  </w:style>
  <w:style w:type="character" w:styleId="Znakapoznpodarou">
    <w:name w:val="footnote reference"/>
    <w:semiHidden/>
    <w:rsid w:val="000212A1"/>
    <w:rPr>
      <w:vertAlign w:val="superscript"/>
    </w:rPr>
  </w:style>
  <w:style w:type="paragraph" w:styleId="Zhlav">
    <w:name w:val="header"/>
    <w:basedOn w:val="Normln"/>
    <w:link w:val="ZhlavChar"/>
    <w:rsid w:val="000212A1"/>
    <w:pPr>
      <w:tabs>
        <w:tab w:val="center" w:pos="4536"/>
        <w:tab w:val="right" w:pos="9072"/>
      </w:tabs>
    </w:pPr>
  </w:style>
  <w:style w:type="character" w:customStyle="1" w:styleId="ZhlavChar">
    <w:name w:val="Záhlaví Char"/>
    <w:basedOn w:val="Standardnpsmoodstavce"/>
    <w:link w:val="Zhlav"/>
    <w:rsid w:val="000212A1"/>
    <w:rPr>
      <w:rFonts w:eastAsia="Times New Roman" w:cs="Times New Roman"/>
      <w:szCs w:val="24"/>
      <w:lang w:eastAsia="cs-CZ"/>
    </w:rPr>
  </w:style>
  <w:style w:type="paragraph" w:styleId="Odstavecseseznamem">
    <w:name w:val="List Paragraph"/>
    <w:basedOn w:val="Normln"/>
    <w:uiPriority w:val="34"/>
    <w:qFormat/>
    <w:rsid w:val="000212A1"/>
    <w:pPr>
      <w:ind w:left="720"/>
      <w:contextualSpacing/>
    </w:pPr>
  </w:style>
  <w:style w:type="table" w:styleId="Mkatabulky">
    <w:name w:val="Table Grid"/>
    <w:basedOn w:val="Normlntabulka"/>
    <w:uiPriority w:val="59"/>
    <w:rsid w:val="004A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3726F"/>
    <w:rPr>
      <w:rFonts w:ascii="Tahoma" w:hAnsi="Tahoma" w:cs="Tahoma"/>
      <w:sz w:val="16"/>
      <w:szCs w:val="16"/>
    </w:rPr>
  </w:style>
  <w:style w:type="character" w:customStyle="1" w:styleId="TextbublinyChar">
    <w:name w:val="Text bubliny Char"/>
    <w:basedOn w:val="Standardnpsmoodstavce"/>
    <w:link w:val="Textbubliny"/>
    <w:uiPriority w:val="99"/>
    <w:semiHidden/>
    <w:rsid w:val="0023726F"/>
    <w:rPr>
      <w:rFonts w:ascii="Tahoma" w:eastAsia="Times New Roman" w:hAnsi="Tahoma" w:cs="Tahoma"/>
      <w:sz w:val="16"/>
      <w:szCs w:val="16"/>
      <w:lang w:eastAsia="cs-CZ"/>
    </w:rPr>
  </w:style>
  <w:style w:type="character" w:styleId="Siln">
    <w:name w:val="Strong"/>
    <w:uiPriority w:val="22"/>
    <w:qFormat/>
    <w:rsid w:val="00E72BDD"/>
    <w:rPr>
      <w:b/>
      <w:bCs/>
    </w:rPr>
  </w:style>
  <w:style w:type="character" w:customStyle="1" w:styleId="apple-converted-space">
    <w:name w:val="apple-converted-space"/>
    <w:basedOn w:val="Standardnpsmoodstavce"/>
    <w:rsid w:val="00E72BDD"/>
  </w:style>
  <w:style w:type="paragraph" w:styleId="Normlnweb">
    <w:name w:val="Normal (Web)"/>
    <w:basedOn w:val="Normln"/>
    <w:uiPriority w:val="99"/>
    <w:unhideWhenUsed/>
    <w:rsid w:val="004A0B3F"/>
    <w:pPr>
      <w:spacing w:before="100" w:beforeAutospacing="1" w:after="119"/>
    </w:pPr>
  </w:style>
  <w:style w:type="character" w:customStyle="1" w:styleId="obdpole34">
    <w:name w:val="obd_pole_34"/>
    <w:rsid w:val="00584F67"/>
  </w:style>
  <w:style w:type="paragraph" w:styleId="Zkladntext2">
    <w:name w:val="Body Text 2"/>
    <w:basedOn w:val="Normln"/>
    <w:link w:val="Zkladntext2Char"/>
    <w:rsid w:val="007352A8"/>
    <w:pPr>
      <w:jc w:val="both"/>
    </w:pPr>
    <w:rPr>
      <w:sz w:val="28"/>
    </w:rPr>
  </w:style>
  <w:style w:type="character" w:customStyle="1" w:styleId="Zkladntext2Char">
    <w:name w:val="Základní text 2 Char"/>
    <w:basedOn w:val="Standardnpsmoodstavce"/>
    <w:link w:val="Zkladntext2"/>
    <w:rsid w:val="007352A8"/>
    <w:rPr>
      <w:rFonts w:eastAsia="Times New Roman" w:cs="Times New Roman"/>
      <w:sz w:val="28"/>
      <w:szCs w:val="24"/>
      <w:lang w:eastAsia="cs-CZ"/>
    </w:rPr>
  </w:style>
  <w:style w:type="character" w:customStyle="1" w:styleId="hps">
    <w:name w:val="hps"/>
    <w:basedOn w:val="Standardnpsmoodstavce"/>
    <w:rsid w:val="002F527C"/>
  </w:style>
  <w:style w:type="paragraph" w:styleId="FormtovanvHTML">
    <w:name w:val="HTML Preformatted"/>
    <w:basedOn w:val="Normln"/>
    <w:link w:val="FormtovanvHTMLChar"/>
    <w:uiPriority w:val="99"/>
    <w:unhideWhenUsed/>
    <w:rsid w:val="002F5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2F527C"/>
    <w:rPr>
      <w:rFonts w:ascii="Courier New" w:eastAsia="Times New Roman" w:hAnsi="Courier New" w:cs="Courier New"/>
      <w:sz w:val="20"/>
      <w:szCs w:val="20"/>
      <w:lang w:eastAsia="cs-CZ"/>
    </w:rPr>
  </w:style>
  <w:style w:type="numbering" w:customStyle="1" w:styleId="sla-zvorky">
    <w:name w:val="Čísla - závorky"/>
    <w:rsid w:val="00856861"/>
    <w:pPr>
      <w:numPr>
        <w:numId w:val="4"/>
      </w:numPr>
    </w:pPr>
  </w:style>
  <w:style w:type="paragraph" w:customStyle="1" w:styleId="Bn">
    <w:name w:val="Běžný"/>
    <w:basedOn w:val="Normln"/>
    <w:rsid w:val="00E72AEF"/>
    <w:pPr>
      <w:widowControl w:val="0"/>
      <w:suppressAutoHyphens/>
      <w:spacing w:after="120"/>
      <w:jc w:val="both"/>
    </w:pPr>
    <w:rPr>
      <w:rFonts w:eastAsia="Lucida Sans Unicode"/>
    </w:rPr>
  </w:style>
  <w:style w:type="numbering" w:customStyle="1" w:styleId="Odrkypuntky">
    <w:name w:val="Odrážky puntíky"/>
    <w:rsid w:val="009F454A"/>
    <w:pPr>
      <w:numPr>
        <w:numId w:val="20"/>
      </w:numPr>
    </w:pPr>
  </w:style>
  <w:style w:type="character" w:styleId="Zvraznn">
    <w:name w:val="Emphasis"/>
    <w:basedOn w:val="Standardnpsmoodstavce"/>
    <w:uiPriority w:val="20"/>
    <w:qFormat/>
    <w:rsid w:val="00E86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143">
      <w:bodyDiv w:val="1"/>
      <w:marLeft w:val="0"/>
      <w:marRight w:val="0"/>
      <w:marTop w:val="0"/>
      <w:marBottom w:val="0"/>
      <w:divBdr>
        <w:top w:val="none" w:sz="0" w:space="0" w:color="auto"/>
        <w:left w:val="none" w:sz="0" w:space="0" w:color="auto"/>
        <w:bottom w:val="none" w:sz="0" w:space="0" w:color="auto"/>
        <w:right w:val="none" w:sz="0" w:space="0" w:color="auto"/>
      </w:divBdr>
    </w:div>
    <w:div w:id="341860597">
      <w:bodyDiv w:val="1"/>
      <w:marLeft w:val="0"/>
      <w:marRight w:val="0"/>
      <w:marTop w:val="0"/>
      <w:marBottom w:val="0"/>
      <w:divBdr>
        <w:top w:val="none" w:sz="0" w:space="0" w:color="auto"/>
        <w:left w:val="none" w:sz="0" w:space="0" w:color="auto"/>
        <w:bottom w:val="none" w:sz="0" w:space="0" w:color="auto"/>
        <w:right w:val="none" w:sz="0" w:space="0" w:color="auto"/>
      </w:divBdr>
    </w:div>
    <w:div w:id="720521313">
      <w:bodyDiv w:val="1"/>
      <w:marLeft w:val="0"/>
      <w:marRight w:val="0"/>
      <w:marTop w:val="0"/>
      <w:marBottom w:val="0"/>
      <w:divBdr>
        <w:top w:val="none" w:sz="0" w:space="0" w:color="auto"/>
        <w:left w:val="none" w:sz="0" w:space="0" w:color="auto"/>
        <w:bottom w:val="none" w:sz="0" w:space="0" w:color="auto"/>
        <w:right w:val="none" w:sz="0" w:space="0" w:color="auto"/>
      </w:divBdr>
    </w:div>
    <w:div w:id="12687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6757-373E-4396-92F7-E0CF7F37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6364</Words>
  <Characters>37553</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43830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Katerina Dolejsi</cp:lastModifiedBy>
  <cp:revision>2</cp:revision>
  <cp:lastPrinted>2016-02-03T11:24:00Z</cp:lastPrinted>
  <dcterms:created xsi:type="dcterms:W3CDTF">2016-02-16T16:47:00Z</dcterms:created>
  <dcterms:modified xsi:type="dcterms:W3CDTF">2016-02-16T16:47:00Z</dcterms:modified>
</cp:coreProperties>
</file>