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A1" w:rsidRPr="00132D73" w:rsidRDefault="00132D73" w:rsidP="000212A1">
      <w:pPr>
        <w:spacing w:after="120"/>
        <w:jc w:val="center"/>
        <w:rPr>
          <w:b/>
          <w:smallCaps/>
          <w:sz w:val="44"/>
          <w:szCs w:val="44"/>
        </w:rPr>
      </w:pPr>
      <w:bookmarkStart w:id="0" w:name="_GoBack"/>
      <w:bookmarkEnd w:id="0"/>
      <w:r>
        <w:rPr>
          <w:b/>
          <w:smallCaps/>
          <w:sz w:val="44"/>
          <w:szCs w:val="44"/>
        </w:rPr>
        <w:t xml:space="preserve">PRŮBĚŽNÁ </w:t>
      </w:r>
      <w:r w:rsidR="000212A1" w:rsidRPr="00132D73">
        <w:rPr>
          <w:b/>
          <w:smallCaps/>
          <w:sz w:val="44"/>
          <w:szCs w:val="44"/>
        </w:rPr>
        <w:t>ZPRÁVA</w:t>
      </w:r>
    </w:p>
    <w:p w:rsidR="00B1417A" w:rsidRDefault="000212A1" w:rsidP="00B1417A">
      <w:pPr>
        <w:jc w:val="center"/>
        <w:rPr>
          <w:b/>
          <w:sz w:val="32"/>
          <w:szCs w:val="32"/>
        </w:rPr>
      </w:pPr>
      <w:r w:rsidRPr="00DD19E7">
        <w:rPr>
          <w:b/>
          <w:sz w:val="32"/>
          <w:szCs w:val="32"/>
        </w:rPr>
        <w:t>o uskutečňování Programu rozvoj</w:t>
      </w:r>
      <w:r w:rsidR="00B1417A">
        <w:rPr>
          <w:b/>
          <w:sz w:val="32"/>
          <w:szCs w:val="32"/>
        </w:rPr>
        <w:t xml:space="preserve">e vědních oblastí na Univerzitě </w:t>
      </w:r>
      <w:r w:rsidRPr="00DD19E7">
        <w:rPr>
          <w:b/>
          <w:sz w:val="32"/>
          <w:szCs w:val="32"/>
        </w:rPr>
        <w:t>Karlově (PRVOUK)</w:t>
      </w:r>
      <w:r>
        <w:rPr>
          <w:b/>
          <w:sz w:val="32"/>
          <w:szCs w:val="32"/>
        </w:rPr>
        <w:t xml:space="preserve"> za </w:t>
      </w:r>
      <w:r w:rsidRPr="00DD19E7">
        <w:rPr>
          <w:b/>
          <w:sz w:val="32"/>
          <w:szCs w:val="32"/>
        </w:rPr>
        <w:t>rok 201</w:t>
      </w:r>
      <w:r>
        <w:rPr>
          <w:b/>
          <w:sz w:val="32"/>
          <w:szCs w:val="32"/>
        </w:rPr>
        <w:t>5</w:t>
      </w:r>
      <w:r w:rsidR="00B1417A">
        <w:rPr>
          <w:b/>
          <w:sz w:val="32"/>
          <w:szCs w:val="32"/>
        </w:rPr>
        <w:t xml:space="preserve"> </w:t>
      </w:r>
    </w:p>
    <w:p w:rsidR="00E51898" w:rsidRDefault="00E51898" w:rsidP="00B1417A">
      <w:pPr>
        <w:spacing w:after="120"/>
        <w:jc w:val="center"/>
        <w:rPr>
          <w:b/>
          <w:sz w:val="32"/>
          <w:szCs w:val="32"/>
        </w:rPr>
      </w:pPr>
      <w:r w:rsidRPr="00E51898">
        <w:rPr>
          <w:b/>
          <w:sz w:val="32"/>
          <w:szCs w:val="32"/>
        </w:rPr>
        <w:t xml:space="preserve">a o dosavadním průběhu realizace </w:t>
      </w:r>
      <w:r w:rsidR="00B1417A">
        <w:rPr>
          <w:b/>
          <w:sz w:val="32"/>
          <w:szCs w:val="32"/>
        </w:rPr>
        <w:t>tohoto programu</w:t>
      </w:r>
    </w:p>
    <w:p w:rsidR="000212A1" w:rsidRPr="000212A1" w:rsidRDefault="000212A1" w:rsidP="000212A1">
      <w:pPr>
        <w:jc w:val="center"/>
        <w:rPr>
          <w:sz w:val="32"/>
          <w:szCs w:val="32"/>
        </w:rPr>
      </w:pPr>
      <w:r w:rsidRPr="00FF290C">
        <w:t>(varianta formuláře pro programy z oblasti humanitních a společenských věd)</w:t>
      </w:r>
    </w:p>
    <w:p w:rsidR="000212A1" w:rsidRDefault="000212A1" w:rsidP="000212A1">
      <w:pPr>
        <w:jc w:val="both"/>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9212"/>
      </w:tblGrid>
      <w:tr w:rsidR="000212A1" w:rsidRPr="0075347D" w:rsidTr="002D1438">
        <w:tc>
          <w:tcPr>
            <w:tcW w:w="9212" w:type="dxa"/>
            <w:shd w:val="clear" w:color="auto" w:fill="auto"/>
          </w:tcPr>
          <w:p w:rsidR="000212A1" w:rsidRPr="0076361C" w:rsidRDefault="000212A1" w:rsidP="00945DDA">
            <w:pPr>
              <w:rPr>
                <w:color w:val="FF0000"/>
              </w:rPr>
            </w:pPr>
            <w:r w:rsidRPr="0076361C">
              <w:rPr>
                <w:b/>
              </w:rPr>
              <w:t xml:space="preserve">Kód programu: </w:t>
            </w:r>
            <w:r w:rsidR="00D05817" w:rsidRPr="00AA61E0">
              <w:t>P0</w:t>
            </w:r>
            <w:r w:rsidR="00945DDA">
              <w:t>5</w:t>
            </w:r>
          </w:p>
        </w:tc>
      </w:tr>
      <w:tr w:rsidR="000212A1" w:rsidRPr="0075347D" w:rsidTr="002D1438">
        <w:tc>
          <w:tcPr>
            <w:tcW w:w="9212" w:type="dxa"/>
            <w:shd w:val="clear" w:color="auto" w:fill="auto"/>
          </w:tcPr>
          <w:p w:rsidR="000212A1" w:rsidRPr="00945DDA" w:rsidRDefault="000212A1" w:rsidP="002D1438">
            <w:r w:rsidRPr="0076361C">
              <w:rPr>
                <w:b/>
              </w:rPr>
              <w:t>Název programu:</w:t>
            </w:r>
            <w:r>
              <w:t xml:space="preserve"> </w:t>
            </w:r>
            <w:r w:rsidR="00945DDA" w:rsidRPr="00D454BA">
              <w:t>Soukromé právo XXI. století</w:t>
            </w:r>
          </w:p>
        </w:tc>
      </w:tr>
      <w:tr w:rsidR="000212A1" w:rsidRPr="0075347D" w:rsidTr="002D1438">
        <w:tc>
          <w:tcPr>
            <w:tcW w:w="9212" w:type="dxa"/>
            <w:shd w:val="clear" w:color="auto" w:fill="auto"/>
          </w:tcPr>
          <w:p w:rsidR="000212A1" w:rsidRDefault="000212A1" w:rsidP="002D1438">
            <w:r w:rsidRPr="0076361C">
              <w:rPr>
                <w:b/>
              </w:rPr>
              <w:t>Zúčastněné fakulty (</w:t>
            </w:r>
            <w:r w:rsidR="006F0CBC" w:rsidRPr="00D908B1">
              <w:rPr>
                <w:b/>
              </w:rPr>
              <w:t>VŠ ústavy</w:t>
            </w:r>
            <w:r w:rsidRPr="0076361C">
              <w:rPr>
                <w:b/>
              </w:rPr>
              <w:t>) UK</w:t>
            </w:r>
            <w:r w:rsidRPr="0075347D">
              <w:t xml:space="preserve"> </w:t>
            </w:r>
            <w:r w:rsidRPr="0076361C">
              <w:rPr>
                <w:sz w:val="20"/>
                <w:szCs w:val="20"/>
              </w:rPr>
              <w:t>(na 1. místě uveďte fakultu koordinátora)</w:t>
            </w:r>
            <w:r w:rsidRPr="0075347D">
              <w:t>:</w:t>
            </w:r>
            <w:r>
              <w:t xml:space="preserve"> </w:t>
            </w:r>
          </w:p>
          <w:p w:rsidR="000212A1" w:rsidRPr="0076361C" w:rsidRDefault="00D05817" w:rsidP="002D1438">
            <w:pPr>
              <w:rPr>
                <w:color w:val="FF0000"/>
              </w:rPr>
            </w:pPr>
            <w:r w:rsidRPr="00AA61E0">
              <w:t>Právnická fakulta</w:t>
            </w:r>
          </w:p>
        </w:tc>
      </w:tr>
      <w:tr w:rsidR="000212A1" w:rsidRPr="0075347D" w:rsidTr="002D1438">
        <w:tc>
          <w:tcPr>
            <w:tcW w:w="9212" w:type="dxa"/>
            <w:shd w:val="clear" w:color="auto" w:fill="auto"/>
          </w:tcPr>
          <w:p w:rsidR="000212A1" w:rsidRPr="0075347D" w:rsidRDefault="000212A1" w:rsidP="002D1438">
            <w:r w:rsidRPr="0076361C">
              <w:rPr>
                <w:b/>
              </w:rPr>
              <w:t>Koordinátor:</w:t>
            </w:r>
            <w:r>
              <w:t xml:space="preserve"> </w:t>
            </w:r>
            <w:r w:rsidR="00945DDA" w:rsidRPr="00D454BA">
              <w:t>prof. JUDr. Jan Dvořák, CSc.</w:t>
            </w:r>
          </w:p>
        </w:tc>
      </w:tr>
    </w:tbl>
    <w:p w:rsidR="000212A1" w:rsidRDefault="000212A1" w:rsidP="000212A1">
      <w:pPr>
        <w:jc w:val="both"/>
      </w:pPr>
    </w:p>
    <w:p w:rsidR="000212A1" w:rsidRDefault="000212A1" w:rsidP="000212A1">
      <w:pPr>
        <w:jc w:val="both"/>
      </w:pPr>
    </w:p>
    <w:p w:rsidR="00FF290C" w:rsidRDefault="00132D73" w:rsidP="006603C4">
      <w:pPr>
        <w:jc w:val="center"/>
        <w:rPr>
          <w:smallCaps/>
        </w:rPr>
      </w:pPr>
      <w:r w:rsidRPr="00132D73">
        <w:rPr>
          <w:b/>
          <w:smallCaps/>
          <w:sz w:val="36"/>
          <w:szCs w:val="36"/>
        </w:rPr>
        <w:t>ČÁST A</w:t>
      </w:r>
      <w:r w:rsidR="00FF290C">
        <w:rPr>
          <w:b/>
          <w:smallCaps/>
          <w:sz w:val="36"/>
          <w:szCs w:val="36"/>
        </w:rPr>
        <w:t xml:space="preserve"> </w:t>
      </w:r>
      <w:r w:rsidR="00FF290C">
        <w:rPr>
          <w:smallCaps/>
        </w:rPr>
        <w:t xml:space="preserve"> </w:t>
      </w:r>
    </w:p>
    <w:p w:rsidR="002D1438" w:rsidRPr="00FF290C" w:rsidRDefault="00FF290C" w:rsidP="006603C4">
      <w:pPr>
        <w:jc w:val="center"/>
        <w:rPr>
          <w:b/>
          <w:smallCaps/>
        </w:rPr>
      </w:pPr>
      <w:r w:rsidRPr="00FF290C">
        <w:t>(týká se roku 2015)</w:t>
      </w:r>
    </w:p>
    <w:p w:rsidR="002D1438" w:rsidRDefault="002D1438" w:rsidP="000212A1">
      <w:pPr>
        <w:jc w:val="both"/>
      </w:pPr>
    </w:p>
    <w:p w:rsidR="000212A1" w:rsidRPr="0075347D" w:rsidRDefault="006603C4" w:rsidP="000212A1">
      <w:pPr>
        <w:keepNext/>
        <w:jc w:val="both"/>
        <w:rPr>
          <w:b/>
        </w:rPr>
      </w:pPr>
      <w:r>
        <w:rPr>
          <w:b/>
        </w:rPr>
        <w:t>A1</w:t>
      </w:r>
      <w:r w:rsidR="000212A1" w:rsidRPr="0075347D">
        <w:rPr>
          <w:b/>
        </w:rPr>
        <w:t>.</w:t>
      </w:r>
    </w:p>
    <w:p w:rsidR="000212A1" w:rsidRDefault="002D1438" w:rsidP="000212A1">
      <w:pPr>
        <w:keepNext/>
        <w:jc w:val="both"/>
        <w:rPr>
          <w:b/>
        </w:rPr>
      </w:pPr>
      <w:r>
        <w:rPr>
          <w:b/>
        </w:rPr>
        <w:t>Stručný souhrn o uskutečňování</w:t>
      </w:r>
      <w:r w:rsidR="000212A1" w:rsidRPr="00E650EA">
        <w:rPr>
          <w:b/>
        </w:rPr>
        <w:t xml:space="preserve"> programu</w:t>
      </w:r>
      <w:r w:rsidR="000212A1">
        <w:rPr>
          <w:b/>
        </w:rPr>
        <w:t>, včetně plnění cílů programu</w:t>
      </w:r>
    </w:p>
    <w:p w:rsidR="000212A1" w:rsidRPr="006603C4" w:rsidRDefault="000212A1" w:rsidP="00661B8F">
      <w:pPr>
        <w:keepNext/>
        <w:jc w:val="both"/>
        <w:rPr>
          <w:i/>
          <w:sz w:val="22"/>
          <w:szCs w:val="22"/>
        </w:rPr>
      </w:pPr>
      <w:r w:rsidRPr="006603C4">
        <w:rPr>
          <w:i/>
          <w:sz w:val="22"/>
          <w:szCs w:val="22"/>
        </w:rPr>
        <w:t>Doporučený rozsah</w:t>
      </w:r>
      <w:r w:rsidRPr="00FF290C">
        <w:rPr>
          <w:i/>
          <w:sz w:val="22"/>
          <w:szCs w:val="22"/>
        </w:rPr>
        <w:t>: 1</w:t>
      </w:r>
      <w:r w:rsidR="002D1438" w:rsidRPr="00FF290C">
        <w:rPr>
          <w:i/>
          <w:sz w:val="22"/>
          <w:szCs w:val="22"/>
        </w:rPr>
        <w:t>–</w:t>
      </w:r>
      <w:r w:rsidRPr="00FF290C">
        <w:rPr>
          <w:i/>
          <w:sz w:val="22"/>
          <w:szCs w:val="22"/>
        </w:rPr>
        <w:t>4 strany</w:t>
      </w:r>
      <w:r w:rsidRPr="006603C4">
        <w:rPr>
          <w:i/>
          <w:sz w:val="22"/>
          <w:szCs w:val="22"/>
        </w:rPr>
        <w:t xml:space="preserve">. </w:t>
      </w:r>
      <w:r w:rsidR="00661B8F" w:rsidRPr="006603C4">
        <w:rPr>
          <w:i/>
          <w:sz w:val="22"/>
          <w:szCs w:val="22"/>
        </w:rPr>
        <w:t xml:space="preserve">Stručně popište práci jednotlivých týmů zapojených do programu a jejich spolupráci; u společných programů zmiňte také mezifakultní spolupráci, případně odkažte na výsledky vytvořené v rámci této spolupráce. </w:t>
      </w:r>
      <w:r w:rsidRPr="006603C4">
        <w:rPr>
          <w:i/>
          <w:sz w:val="22"/>
          <w:szCs w:val="22"/>
        </w:rPr>
        <w:t>Můžete uvést i spolupráci s jinými PRVOUKy</w:t>
      </w:r>
      <w:r w:rsidR="00B77DDB">
        <w:rPr>
          <w:i/>
          <w:sz w:val="22"/>
          <w:szCs w:val="22"/>
        </w:rPr>
        <w:t xml:space="preserve"> a zahraniční spolupráci</w:t>
      </w:r>
      <w:r w:rsidRPr="006603C4">
        <w:rPr>
          <w:i/>
          <w:sz w:val="22"/>
          <w:szCs w:val="22"/>
        </w:rPr>
        <w:t xml:space="preserve">. </w:t>
      </w:r>
    </w:p>
    <w:p w:rsidR="007363A8" w:rsidRPr="006603C4" w:rsidRDefault="000212A1" w:rsidP="000212A1">
      <w:pPr>
        <w:keepNext/>
        <w:jc w:val="both"/>
        <w:rPr>
          <w:i/>
          <w:sz w:val="22"/>
          <w:szCs w:val="22"/>
        </w:rPr>
      </w:pPr>
      <w:r w:rsidRPr="006603C4">
        <w:rPr>
          <w:i/>
          <w:sz w:val="22"/>
          <w:szCs w:val="22"/>
        </w:rPr>
        <w:t>Uveďte termíny jednání rady programu v roce 201</w:t>
      </w:r>
      <w:r w:rsidR="005D0732" w:rsidRPr="006603C4">
        <w:rPr>
          <w:i/>
          <w:sz w:val="22"/>
          <w:szCs w:val="22"/>
        </w:rPr>
        <w:t>5</w:t>
      </w:r>
      <w:r w:rsidRPr="006603C4">
        <w:rPr>
          <w:i/>
          <w:sz w:val="22"/>
          <w:szCs w:val="22"/>
        </w:rPr>
        <w:t xml:space="preserve">. Zmiňte případné </w:t>
      </w:r>
      <w:r w:rsidR="00F0566D">
        <w:rPr>
          <w:i/>
          <w:sz w:val="22"/>
          <w:szCs w:val="22"/>
        </w:rPr>
        <w:t xml:space="preserve">schválené </w:t>
      </w:r>
      <w:r w:rsidRPr="006603C4">
        <w:rPr>
          <w:i/>
          <w:sz w:val="22"/>
          <w:szCs w:val="22"/>
        </w:rPr>
        <w:t xml:space="preserve">změny </w:t>
      </w:r>
      <w:r w:rsidR="007363A8" w:rsidRPr="006603C4">
        <w:rPr>
          <w:i/>
          <w:sz w:val="22"/>
          <w:szCs w:val="22"/>
        </w:rPr>
        <w:t xml:space="preserve">složení rady programu nebo </w:t>
      </w:r>
      <w:r w:rsidR="00F0566D">
        <w:rPr>
          <w:i/>
          <w:sz w:val="22"/>
          <w:szCs w:val="22"/>
        </w:rPr>
        <w:t>změny na pozicích</w:t>
      </w:r>
      <w:r w:rsidR="007363A8" w:rsidRPr="006603C4">
        <w:rPr>
          <w:i/>
          <w:sz w:val="22"/>
          <w:szCs w:val="22"/>
        </w:rPr>
        <w:t xml:space="preserve"> klíčových řešitelů, kteří nejsou členy rady programu – viz část f) přihlášky programu.</w:t>
      </w:r>
    </w:p>
    <w:p w:rsidR="000212A1" w:rsidRDefault="000212A1" w:rsidP="00097D74">
      <w:pPr>
        <w:jc w:val="both"/>
      </w:pPr>
    </w:p>
    <w:p w:rsidR="00A00288" w:rsidRDefault="00A00288" w:rsidP="00097D74">
      <w:pPr>
        <w:jc w:val="both"/>
      </w:pPr>
      <w:r>
        <w:tab/>
        <w:t>Jak již bylo uvedeno v předchozích průběžných zprávách</w:t>
      </w:r>
      <w:r w:rsidR="009D20C5">
        <w:t>,</w:t>
      </w:r>
      <w:r>
        <w:t xml:space="preserve"> široká soukromoprávní materie byla pro lepší uchopitelnost rozčleněna do několika dílčích úkolů. Hodnocení uskutečňování programu proto z tohoto členění vychází, stejně, jako tomu bylo v minulých letech.</w:t>
      </w:r>
      <w:r w:rsidR="004025FB">
        <w:t xml:space="preserve"> Pro uskutečňování programu za rok 2015 lze nicméně napříč všemi dílčími úkoly identifikovat společný prvek, kterým je kontinualita v práci na dílčích úkolech, které byly zahájeny ve dřívějších letech.</w:t>
      </w:r>
    </w:p>
    <w:p w:rsidR="00776C79" w:rsidRDefault="004025FB" w:rsidP="00A00288">
      <w:pPr>
        <w:jc w:val="both"/>
      </w:pPr>
      <w:r>
        <w:tab/>
      </w:r>
      <w:r w:rsidR="00A00288" w:rsidRPr="00A00288">
        <w:t xml:space="preserve">Dílčí úkol </w:t>
      </w:r>
      <w:r w:rsidR="00A00288" w:rsidRPr="00A00288">
        <w:rPr>
          <w:b/>
        </w:rPr>
        <w:t>Rekodifikace soukromého práva a jeho širší rámec</w:t>
      </w:r>
      <w:r w:rsidR="00EC5C87" w:rsidRPr="00EC5C87">
        <w:t xml:space="preserve"> (vedoucí dílčího řešitelského týmu prof. Dvořák)</w:t>
      </w:r>
      <w:r w:rsidR="00EC5C87">
        <w:t xml:space="preserve"> v souladu s </w:t>
      </w:r>
      <w:r w:rsidR="00EC5C87" w:rsidRPr="00EC5C87">
        <w:t>hlavním cílem programu (tj. vybudovat základy nové privatistické doktríny</w:t>
      </w:r>
      <w:r w:rsidR="009B00BF">
        <w:t xml:space="preserve"> rekodifikovaného soukromého práva; srov. bod j přihlášky programu</w:t>
      </w:r>
      <w:r w:rsidR="00EC5C87">
        <w:t xml:space="preserve">) především pokračoval v práci </w:t>
      </w:r>
      <w:r w:rsidR="009B00BF">
        <w:t>na ucelené řadě oborově profilující učebnice občanského práva. V roce 2015 byl v nakladatelství Wolters Kluwer vydán třetí</w:t>
      </w:r>
      <w:r w:rsidR="00776C79">
        <w:rPr>
          <w:rStyle w:val="Znakapoznpodarou"/>
        </w:rPr>
        <w:footnoteReference w:id="1"/>
      </w:r>
      <w:r w:rsidR="009B00BF">
        <w:t xml:space="preserve"> díl učebnice, který systematicky zpracovává problematiku věcných práv</w:t>
      </w:r>
      <w:r w:rsidR="001B0D64">
        <w:t xml:space="preserve"> (hl. redaktoři prof. Dvořák a prof. Švestka)</w:t>
      </w:r>
      <w:r w:rsidR="009B00BF">
        <w:t xml:space="preserve">. Zároveň byly zahájeny práce na druhém dílu této učebnicové řady, totiž na komplexním zpracování problematiky rodinného práva v kontextu práva soukromého. Toto dílo se podařilo během roku dokončit a v současné době je již předáno do nakladatelství a připraveno k tisku. </w:t>
      </w:r>
      <w:r w:rsidR="00776C79">
        <w:t xml:space="preserve">Kvalitu této pomůcky, která slouží nejen studentům pražské právnické fakulty, ale je základním východiskem také pro odbornou praxi, dokládá skutečnost, že bylo </w:t>
      </w:r>
      <w:r w:rsidR="00776C79">
        <w:lastRenderedPageBreak/>
        <w:t>již třeba přistoupit ke druhému vydání prvního dílu (obecná část soukromého práva). Nejde při tom o pouhý dotisk, nýbrž o podstatně aktualizované vydání, odrážející nejnovější poznatky doktríny (např. ohledně interpretace některých problematických institutů či o uplatňování rekodifikovaného soukromého práva v soudní praxi atd.). Rovněž toto aktualizované vydání bylo v průběhu roku dokončeno a bylo předáno do nakladatelství k tisku. Lze tedy shrnout, že dílčímu týmu se podařilo během roku připravit do tisku dva díly základní profilující učebnice soukromého práva a jeden díl podstatným způsobem aktualizovat.</w:t>
      </w:r>
    </w:p>
    <w:p w:rsidR="001B0D64" w:rsidRDefault="00776C79" w:rsidP="00A00288">
      <w:pPr>
        <w:jc w:val="both"/>
      </w:pPr>
      <w:r>
        <w:tab/>
        <w:t>K tomu je nutno přičíst výstupy úzce související, totiž výstupy na poli občanského práva procesního. Především byl vydán druhý díl základní učebnice civilního práva procesního (hlavní redaktorky prof. Win</w:t>
      </w:r>
      <w:r w:rsidR="005348AA">
        <w:t>t</w:t>
      </w:r>
      <w:r>
        <w:t>erová, doc. Macková)</w:t>
      </w:r>
      <w:r w:rsidR="001B0D64">
        <w:t>, čímž je k dispozici jak studentům, tak i právní praxi ucelený výklad civilního procesu po rektifikaci. Jako doklad kvality této učebnicové řady může opět sloužit fakt, že bylo zároveň nutno přistoupit k dotisku prvního dílu (vzhledem ke kratší době, která uplynula od jeho prvního vydání</w:t>
      </w:r>
      <w:r w:rsidR="00702B13">
        <w:t>,</w:t>
      </w:r>
      <w:r w:rsidR="001B0D64">
        <w:t xml:space="preserve"> nebylo zatím přistoupeno k vydání aktualizovaného vydání). </w:t>
      </w:r>
    </w:p>
    <w:p w:rsidR="00776C79" w:rsidRDefault="001B0D64" w:rsidP="00A00288">
      <w:pPr>
        <w:jc w:val="both"/>
      </w:pPr>
      <w:r>
        <w:tab/>
        <w:t>Výše uvedené výstupy je nutno vnímat ve světle skutečnosti, že členové tohoto dílčího úkolu zároveň participují na dalším dílčím úkolu, kde rovněž přispívají k celkovému naplňování cílů programu.</w:t>
      </w:r>
    </w:p>
    <w:p w:rsidR="00A00288" w:rsidRDefault="001B0D64" w:rsidP="00EF3B5C">
      <w:pPr>
        <w:autoSpaceDE w:val="0"/>
        <w:autoSpaceDN w:val="0"/>
        <w:adjustRightInd w:val="0"/>
        <w:jc w:val="both"/>
      </w:pPr>
      <w:r>
        <w:tab/>
      </w:r>
      <w:r w:rsidR="00A00288" w:rsidRPr="00EC5C87">
        <w:t xml:space="preserve">Dílčí úkol </w:t>
      </w:r>
      <w:r w:rsidR="00A00288" w:rsidRPr="00EC5C87">
        <w:rPr>
          <w:b/>
        </w:rPr>
        <w:t>Nové jevy rekodifikovaného soukro</w:t>
      </w:r>
      <w:r w:rsidR="00A00288" w:rsidRPr="00A00288">
        <w:rPr>
          <w:b/>
        </w:rPr>
        <w:t>mého práva</w:t>
      </w:r>
      <w:r w:rsidR="00A00288" w:rsidRPr="00A00288">
        <w:t xml:space="preserve"> (vedoucí dílčího řešitelského týmu prof. Dvořák)</w:t>
      </w:r>
      <w:r w:rsidR="00702B13">
        <w:t>. V rámci tohoto dílčího úkolu se řešitelský tým již tradičně zaměřuje spíše na dílčí problémy rekodifikace, čímž společně s výše uvedeným dílčím úkolem komplexně a metodologicky vyváženě pokrývá prakticky celou oblast výzkumu soukromého práva. Řešitelé se zaměřili především (mimo další výstupy) na evropský kontext náhrady škody (Lederer, V.: Compesnation of Damage in the European Context), dále na aktuální problematiku věcných práv (Thöndel, A.: Acquisitive Prescription under the New Civil Code), jakož i na problematiku procesního práva (Macková, A.: Civil Procedure and the Rule of Law in the 21</w:t>
      </w:r>
      <w:r w:rsidR="00702B13" w:rsidRPr="00702B13">
        <w:rPr>
          <w:vertAlign w:val="superscript"/>
        </w:rPr>
        <w:t>st</w:t>
      </w:r>
      <w:r w:rsidR="00702B13">
        <w:t xml:space="preserve"> Century; Švehlová, S.</w:t>
      </w:r>
      <w:r w:rsidR="00702B13">
        <w:rPr>
          <w:rStyle w:val="Znakapoznpodarou"/>
        </w:rPr>
        <w:footnoteReference w:id="2"/>
      </w:r>
      <w:r w:rsidR="00702B13">
        <w:t>: Consumer Disputes and Means of their Settlement in the Future; Sedláček, M.: Perspectives of the Judicial Protection of Rights in a State Governed by the Rule of Law). Všechny uvedené výstupy jsou při tom součástí zahraniční monografie vydané v anglickém jazyce</w:t>
      </w:r>
      <w:r w:rsidR="00EF3B5C">
        <w:t xml:space="preserve"> Pítrová, L. et al.: Rule of Law and Mechanisms of its Protection (Czech Perspective) Waldkirchen: rw&amp;w Science, 2015, která je navíc výsledkem úzké spolupráce programů P04, P05 a P06. Dále je třeba uvést participaci v rámci mezinárodní zahraniční monografie Moon, J., Tomášek, M. et al.: Law Crossing Eurasia. From Korea to the Czech Republic. Waldkirchen: rw&amp;w Science, 2015, v níž participoval Frinta, O. rozsáhlou kapitolou </w:t>
      </w:r>
      <w:r w:rsidR="00EF3B5C" w:rsidRPr="00EF3B5C">
        <w:t>Private Law in the Czech Republic - Development, Presence</w:t>
      </w:r>
      <w:r w:rsidR="00EF3B5C">
        <w:t xml:space="preserve"> </w:t>
      </w:r>
      <w:r w:rsidR="00EF3B5C" w:rsidRPr="00EF3B5C">
        <w:t>and Prospects</w:t>
      </w:r>
      <w:r w:rsidR="00EF3B5C">
        <w:t xml:space="preserve"> (35 stran). Stranou nezůstala ani problematika rodinného práva (členové Elischer, D. a Frinta, O. se účastnili práce na monografii Radvanová, S.: Rodina a dítě v NOZ. Praha: C. H. Beck, 2015). Další členové reprezentovali českou privatistiku na zahraničních konferencích.</w:t>
      </w:r>
    </w:p>
    <w:p w:rsidR="00EF3B5C" w:rsidRDefault="00EF3B5C" w:rsidP="00EF3B5C">
      <w:pPr>
        <w:autoSpaceDE w:val="0"/>
        <w:autoSpaceDN w:val="0"/>
        <w:adjustRightInd w:val="0"/>
        <w:jc w:val="both"/>
      </w:pPr>
      <w:r>
        <w:tab/>
        <w:t>Na základě uvedeného se lze domnívat, že se díky podpoře programu P05 daří značnou měrou přispívat k cíli definovanému v bodě j) přihlášky, totiž k budování solidních základů české privatistiky po rekodifikaci soukromého práva.</w:t>
      </w:r>
      <w:r w:rsidR="009D20C5">
        <w:t xml:space="preserve"> Jako doklad lze uvést, že toto úsilí již nachází svůj odraz v právní praxi, a to přímo i judikatuře soudů či dokonce již i v judikatuře Ústavního soudu ČR: např. v jeho nedávném nálezu IV. ÚS 650/15 je přímo citováno z komentáře k občanskému zákoníku, na kterém participovala nejen většina členů celého programu P05. Dále je třeba uvést, že tento komentář (srov. již průběžnou zprávu za rok 2014) byl v roce 2015 oceněn prestižním oceněním </w:t>
      </w:r>
      <w:r w:rsidR="009D20C5" w:rsidRPr="00F02AEF">
        <w:rPr>
          <w:i/>
        </w:rPr>
        <w:t>Autorská cena 2015 Karlovarských právnických dnů za nejhodnotnější právnickou publikaci roku</w:t>
      </w:r>
      <w:r w:rsidR="009D20C5">
        <w:t>.</w:t>
      </w:r>
    </w:p>
    <w:p w:rsidR="005A0C75" w:rsidRPr="006631AF" w:rsidRDefault="004025FB" w:rsidP="004025FB">
      <w:pPr>
        <w:jc w:val="both"/>
      </w:pPr>
      <w:r>
        <w:lastRenderedPageBreak/>
        <w:tab/>
      </w:r>
      <w:r w:rsidR="00A00288" w:rsidRPr="00A00288">
        <w:t xml:space="preserve">V rámci dílčího </w:t>
      </w:r>
      <w:r w:rsidR="00A00288" w:rsidRPr="006631AF">
        <w:t xml:space="preserve">úkolu </w:t>
      </w:r>
      <w:r w:rsidR="00A00288" w:rsidRPr="00A00288">
        <w:rPr>
          <w:b/>
        </w:rPr>
        <w:t>Analýza právní úpravy obchodních korporací v rekodifikačních předpisech a dopad nové právní úpravy na hranice obchodního práva jako soukromoprávního oboru</w:t>
      </w:r>
      <w:r w:rsidR="00A00288" w:rsidRPr="00A00288">
        <w:t xml:space="preserve"> (vedoucí dílčího řešitelského týmu prof. Černá)</w:t>
      </w:r>
      <w:r>
        <w:t xml:space="preserve"> se k</w:t>
      </w:r>
      <w:r w:rsidRPr="004025FB">
        <w:t xml:space="preserve">olektiv řešitelů zaměřil </w:t>
      </w:r>
      <w:r>
        <w:t xml:space="preserve">v souladu s cíli úkolu </w:t>
      </w:r>
      <w:r w:rsidRPr="004025FB">
        <w:t>na teoreticky složité a prakticky významné problémy současné české komercialistiky, které v oblasti českého práva obchodních korporací vyvstaly zejména</w:t>
      </w:r>
      <w:r w:rsidRPr="004025FB">
        <w:rPr>
          <w:b/>
        </w:rPr>
        <w:t xml:space="preserve"> v souvislosti s jeho rekodifikací</w:t>
      </w:r>
      <w:r w:rsidRPr="004025FB">
        <w:t xml:space="preserve"> (např. nová koncepce českého koncernového práva, určení hranic smluvní svobody při konstrukci </w:t>
      </w:r>
      <w:r w:rsidRPr="006631AF">
        <w:t>druhů podílů v obchodních korporacích). Hlavní pozornost se zaměřila na otázky právního režimu kapitálových obchodních společností. Dílčím způsobem byly pojednány i problémy právního režimu osobních společností (např. zá</w:t>
      </w:r>
      <w:r w:rsidR="008D6EB6" w:rsidRPr="006631AF">
        <w:t xml:space="preserve">kaz převodu podílu ve v.o.s.). </w:t>
      </w:r>
      <w:r w:rsidR="005A0C75" w:rsidRPr="006631AF">
        <w:tab/>
      </w:r>
    </w:p>
    <w:p w:rsidR="005A0C75" w:rsidRPr="006631AF" w:rsidRDefault="005A0C75" w:rsidP="004025FB">
      <w:pPr>
        <w:jc w:val="both"/>
      </w:pPr>
      <w:r w:rsidRPr="006631AF">
        <w:tab/>
      </w:r>
      <w:r w:rsidR="008D6EB6" w:rsidRPr="006631AF">
        <w:t xml:space="preserve">Stranou pozornosti řešitelů </w:t>
      </w:r>
      <w:r w:rsidR="004025FB" w:rsidRPr="006631AF">
        <w:t>nezůstaly ani otázky, jimiž se zabývá česká obchodněprávní doktrína, judikatura i praxe kontinuálně, které byly předmětem odborných diskusí již před rekodifikací, jako např. dispozice s částí závodu, jež musí schválit valná hromada kapitálové společnosti, práva a povinnosti členů jejích volených orgánů, zastupování obchodní korporace, atd.</w:t>
      </w:r>
    </w:p>
    <w:p w:rsidR="005A0C75" w:rsidRPr="006631AF" w:rsidRDefault="005A0C75" w:rsidP="004025FB">
      <w:pPr>
        <w:jc w:val="both"/>
      </w:pPr>
      <w:r w:rsidRPr="006631AF">
        <w:tab/>
      </w:r>
      <w:r w:rsidR="004025FB" w:rsidRPr="006631AF">
        <w:t>Vzhledem k důrazu na subsidiaritu občanského práva a její význam pro určení obsahu a pro aplikaci obchodněprávních norem se řešitelský tým zabýval i právními instituty, které tvoří terminologicky i obsahově základ civilního práva a tudíž i obecný rámec obchodního práva jako jeho specifické součásti (čas, promlčení, prekluze,</w:t>
      </w:r>
      <w:r w:rsidR="008D6EB6" w:rsidRPr="006631AF">
        <w:t xml:space="preserve"> zánik a změna závazku atd.).</w:t>
      </w:r>
    </w:p>
    <w:p w:rsidR="005A0C75" w:rsidRPr="006631AF" w:rsidRDefault="005A0C75" w:rsidP="004025FB">
      <w:pPr>
        <w:jc w:val="both"/>
      </w:pPr>
      <w:r w:rsidRPr="006631AF">
        <w:tab/>
      </w:r>
      <w:r w:rsidR="004025FB" w:rsidRPr="006631AF">
        <w:t>Výše uvedené problémové otázky byly zkoumány též na pozadí komparace se zahraničními právními úpravami (především   německou či rakouskou, ale i švýcarskou či úpravou amerických států) a s využitím závěrů zahraniční judikatury a odborné literatury. Tradičně byla pozornost věnována unijním souvislostem řešených o</w:t>
      </w:r>
      <w:r w:rsidR="008D6EB6" w:rsidRPr="006631AF">
        <w:t xml:space="preserve">tázek. </w:t>
      </w:r>
    </w:p>
    <w:p w:rsidR="004025FB" w:rsidRDefault="005A0C75" w:rsidP="004025FB">
      <w:pPr>
        <w:jc w:val="both"/>
      </w:pPr>
      <w:r w:rsidRPr="006631AF">
        <w:tab/>
      </w:r>
      <w:r w:rsidR="004025FB" w:rsidRPr="006631AF">
        <w:t xml:space="preserve">Výsledky řešení dílčího úkolu promítl autorský kolektiv i do pedagogické oblasti (publikace Černá, S., Štenglová I., Pelikánová, I. a kolektiv: Právo obchodních korporací. Wolters Kluwer  2015). Výstupem v pedagogické oblasti bylo i pořádání každoročního výjezdního workshopu pro studenty v Peci pod Sněžkou (sborníky příspěvků jsou od roku 2011 dostupné na </w:t>
      </w:r>
      <w:hyperlink r:id="rId8" w:history="1">
        <w:r w:rsidR="004025FB" w:rsidRPr="006631AF">
          <w:rPr>
            <w:rStyle w:val="Hypertextovodkaz"/>
          </w:rPr>
          <w:t>http://www.prf.cuni.cz/vyjezdni-seminar-z-obchodniho-prava-1404045896.html</w:t>
        </w:r>
      </w:hyperlink>
      <w:r w:rsidR="00B30A09" w:rsidRPr="006631AF">
        <w:t>). Z výše uvedených důvodů mají řešitelé d</w:t>
      </w:r>
      <w:r w:rsidR="00B30A09" w:rsidRPr="00B30A09">
        <w:t>ílčího úkolu za to, že cíle programu se daří plnit.</w:t>
      </w:r>
    </w:p>
    <w:p w:rsidR="005A0C75" w:rsidRDefault="008D6EB6" w:rsidP="004025FB">
      <w:pPr>
        <w:jc w:val="both"/>
      </w:pPr>
      <w:r>
        <w:tab/>
        <w:t xml:space="preserve">V dílčím úkolu </w:t>
      </w:r>
      <w:r w:rsidR="006631AF" w:rsidRPr="006631AF">
        <w:rPr>
          <w:b/>
        </w:rPr>
        <w:t>M</w:t>
      </w:r>
      <w:r w:rsidR="00A00288" w:rsidRPr="00A00288">
        <w:rPr>
          <w:b/>
        </w:rPr>
        <w:t>ezinárodně-právní aspekty soukromého práva</w:t>
      </w:r>
      <w:r w:rsidR="00A00288" w:rsidRPr="00A00288">
        <w:t xml:space="preserve"> (vedoucí dílčího řešitelského týmu prof. Pauknerová)</w:t>
      </w:r>
      <w:r>
        <w:t xml:space="preserve"> byla v souladu s již dříve definovanými cíli pokračováno ve</w:t>
      </w:r>
      <w:r w:rsidR="004025FB" w:rsidRPr="00A20D03">
        <w:t xml:space="preserve"> zkoumání rekodifikovan</w:t>
      </w:r>
      <w:r>
        <w:t>é</w:t>
      </w:r>
      <w:r w:rsidR="004025FB" w:rsidRPr="00A20D03">
        <w:t xml:space="preserve"> právní úprav</w:t>
      </w:r>
      <w:r>
        <w:t>y</w:t>
      </w:r>
      <w:r w:rsidR="004025FB">
        <w:t xml:space="preserve"> soukromého práva</w:t>
      </w:r>
      <w:r w:rsidR="004025FB" w:rsidRPr="00A20D03">
        <w:t xml:space="preserve">, kterou reprezentuje </w:t>
      </w:r>
      <w:r w:rsidR="004025FB">
        <w:t xml:space="preserve">především </w:t>
      </w:r>
      <w:r w:rsidR="004025FB" w:rsidRPr="00A20D03">
        <w:t xml:space="preserve">nový zákon o mezinárodním právu soukromém. Autorský tým (Pauknerová, Růžička, Pfeiffer) připravil </w:t>
      </w:r>
      <w:r w:rsidR="004025FB">
        <w:t xml:space="preserve">novou komplexní </w:t>
      </w:r>
      <w:r w:rsidR="004025FB" w:rsidRPr="00A20D03">
        <w:t xml:space="preserve">učebnici Mezinárodní právo soukromé. </w:t>
      </w:r>
    </w:p>
    <w:p w:rsidR="005A0C75" w:rsidRDefault="005A0C75" w:rsidP="004025FB">
      <w:pPr>
        <w:jc w:val="both"/>
      </w:pPr>
      <w:r>
        <w:tab/>
      </w:r>
      <w:r w:rsidR="004025FB" w:rsidRPr="00A20D03">
        <w:t xml:space="preserve">Dalším východiskem </w:t>
      </w:r>
      <w:r w:rsidR="004025FB">
        <w:t xml:space="preserve">zkoumání </w:t>
      </w:r>
      <w:r w:rsidR="004025FB" w:rsidRPr="00A20D03">
        <w:t>je evropské právo, které v současné době již svou úpravou pokrývá významnou část odvětví mezinárodního práva soukromého</w:t>
      </w:r>
      <w:r w:rsidR="004025FB">
        <w:t>, význam si stále zachovávají i mezinárodní smlouvy</w:t>
      </w:r>
      <w:r w:rsidR="004025FB" w:rsidRPr="00A20D03">
        <w:t xml:space="preserve">. </w:t>
      </w:r>
      <w:r w:rsidR="004025FB">
        <w:t>D</w:t>
      </w:r>
      <w:r w:rsidR="004025FB" w:rsidRPr="00A20D03">
        <w:t xml:space="preserve">o </w:t>
      </w:r>
      <w:r w:rsidR="004025FB">
        <w:t>centra zájmu</w:t>
      </w:r>
      <w:r w:rsidR="004025FB" w:rsidRPr="00A20D03">
        <w:t xml:space="preserve"> </w:t>
      </w:r>
      <w:r w:rsidR="004025FB">
        <w:t xml:space="preserve">akademiků i praktiků se tak logicky </w:t>
      </w:r>
      <w:r w:rsidR="004025FB" w:rsidRPr="00A20D03">
        <w:t>dostávají práce srovnávacího charakteru</w:t>
      </w:r>
      <w:r w:rsidR="004025FB">
        <w:t xml:space="preserve"> a je potřebné vyzdvihnout skutečnost, že </w:t>
      </w:r>
      <w:r w:rsidR="00B30A09">
        <w:t xml:space="preserve">česká doktrína </w:t>
      </w:r>
      <w:r w:rsidR="004025FB" w:rsidRPr="00A20D03">
        <w:t>mezinárodní</w:t>
      </w:r>
      <w:r w:rsidR="00B30A09">
        <w:t>ho</w:t>
      </w:r>
      <w:r w:rsidR="004025FB" w:rsidRPr="00A20D03">
        <w:t xml:space="preserve"> práv</w:t>
      </w:r>
      <w:r w:rsidR="00B30A09">
        <w:t>a</w:t>
      </w:r>
      <w:r w:rsidR="004025FB" w:rsidRPr="00A20D03">
        <w:t xml:space="preserve"> soukromé</w:t>
      </w:r>
      <w:r w:rsidR="00B30A09">
        <w:t>ho</w:t>
      </w:r>
      <w:r w:rsidR="004025FB" w:rsidRPr="00A20D03">
        <w:t xml:space="preserve"> se těší ve světě značnému zájmu představitelů srovnávacího soukromého práva. </w:t>
      </w:r>
      <w:r w:rsidR="00B30A09">
        <w:t xml:space="preserve">Díky PROVUK 05 bylo možno mezinárodní prvek dále posilovat. </w:t>
      </w:r>
      <w:r w:rsidR="004025FB" w:rsidRPr="00A20D03">
        <w:t xml:space="preserve">Prof. Pauknerová a dr. Pfeiffer publikovaly kapitolu o české úpravě mediace v prestižní publikaci Springer Verlag, která je výstupem z prezentace na kongresu Mezinárodní akademie srovnávacího práva ve Vídni v r. 2014. </w:t>
      </w:r>
      <w:r w:rsidR="004025FB">
        <w:t>Prof. Pauknerová je spoluautorkou monografie Rule of Law and Mechanisms of its Protection (</w:t>
      </w:r>
      <w:r w:rsidR="00EC5C87">
        <w:t>r</w:t>
      </w:r>
      <w:r w:rsidR="004025FB">
        <w:t xml:space="preserve">ed. </w:t>
      </w:r>
      <w:r w:rsidR="009B00BF">
        <w:t xml:space="preserve">doc. </w:t>
      </w:r>
      <w:r w:rsidR="004025FB">
        <w:t xml:space="preserve">Pítrová), v jejímž rámci se zaměřila na postavení mezinárodního práva soukromého v moderní společnosti. </w:t>
      </w:r>
      <w:r w:rsidR="004025FB" w:rsidRPr="00A20D03">
        <w:t xml:space="preserve">Tři členové týmu jsou spoluautory monografie „Law Crossing Eurasia: From Korea to the Czech Republic“ (ed. Moon a Tomášek). Prof. Pauknerová a dr. Pfeiffer publikovaly v časopise The Lawyer Quarterly článek o mezinárodní mediaci se zvláštním zaměřením na Evropskou unii. Dr. Brodec ve spoluautorství s Mgr. Janečkem v časopise </w:t>
      </w:r>
      <w:r w:rsidR="004025FB" w:rsidRPr="00A20D03">
        <w:lastRenderedPageBreak/>
        <w:t xml:space="preserve">Public Procurement Law Review </w:t>
      </w:r>
      <w:r w:rsidR="004025FB">
        <w:t xml:space="preserve">publikovali </w:t>
      </w:r>
      <w:r w:rsidR="004025FB" w:rsidRPr="00A20D03">
        <w:t xml:space="preserve">článek o podstatné změně smlouvy o veřejné zakázce. </w:t>
      </w:r>
      <w:r w:rsidR="004025FB">
        <w:t xml:space="preserve">Dr. Dobiáš informoval o novém zákoně o mezinárodním právu soukromém v </w:t>
      </w:r>
      <w:r w:rsidR="004025FB" w:rsidRPr="00A20D03">
        <w:t>Rivista di diritto internazionale privato e processuale</w:t>
      </w:r>
      <w:r w:rsidR="004025FB">
        <w:t>.</w:t>
      </w:r>
      <w:r w:rsidR="004025FB" w:rsidRPr="00A20D03">
        <w:t xml:space="preserve"> Cíle programu za rok 2015 byly splněny, </w:t>
      </w:r>
      <w:r w:rsidR="004025FB">
        <w:t xml:space="preserve">byly prezentovány příspěvky na mezinárodních konferencích (zejména nutno zdůraznit prezentaci Prof. Pauknerové a dr. Pfeiffer na konferenci mezinárodního práva soukromého v Cambridge), </w:t>
      </w:r>
      <w:r w:rsidR="004025FB" w:rsidRPr="00A20D03">
        <w:t xml:space="preserve">několik rukopisů bylo předáno do tisku a budou publikovány v r. 2016. </w:t>
      </w:r>
    </w:p>
    <w:p w:rsidR="004025FB" w:rsidRPr="004025FB" w:rsidRDefault="005A0C75" w:rsidP="004025FB">
      <w:pPr>
        <w:jc w:val="both"/>
      </w:pPr>
      <w:r>
        <w:tab/>
        <w:t>Řešitelský tým d</w:t>
      </w:r>
      <w:r w:rsidRPr="005A0C75">
        <w:t>ílčí</w:t>
      </w:r>
      <w:r>
        <w:t>ho</w:t>
      </w:r>
      <w:r w:rsidRPr="005A0C75">
        <w:t xml:space="preserve"> úkol</w:t>
      </w:r>
      <w:r>
        <w:t>u</w:t>
      </w:r>
      <w:r w:rsidRPr="005A0C75">
        <w:t xml:space="preserve"> </w:t>
      </w:r>
      <w:r w:rsidR="006631AF">
        <w:rPr>
          <w:b/>
        </w:rPr>
        <w:t>P</w:t>
      </w:r>
      <w:r w:rsidR="00A00288" w:rsidRPr="00A00288">
        <w:rPr>
          <w:b/>
        </w:rPr>
        <w:t>racovní právo po novém občanském zákoníku</w:t>
      </w:r>
      <w:r w:rsidRPr="005A0C75">
        <w:t xml:space="preserve"> (vedoucí</w:t>
      </w:r>
      <w:r>
        <w:t xml:space="preserve"> dílčího řešitelského týmu prof. Pichrt) byl rozšířen </w:t>
      </w:r>
      <w:r w:rsidR="004025FB" w:rsidRPr="004025FB">
        <w:t>o novou interní doktorandku Katedry pracovního práva a práva sociálního zabezpečení PF UK - členy řešitelského týmu jsou ke konci roku 2015 dva interní doktorandi (Mgr. Řehořová a JUDr. Tomšej) a šest akademických pracovníků v následujícím složení: dva profesoři (prof. Bělina a prof. Pichrt - vedoucí dílčího řešitelského týmu, jmenován profesorem v květnu 2015), dva docenti (doc. Hůrka a doc. Štefko) a dva odborní asistenti (Dr. Drápal a Dr. Morávek).</w:t>
      </w:r>
      <w:r>
        <w:t xml:space="preserve"> </w:t>
      </w:r>
    </w:p>
    <w:p w:rsidR="004025FB" w:rsidRPr="004025FB" w:rsidRDefault="004025FB" w:rsidP="004025FB">
      <w:pPr>
        <w:jc w:val="both"/>
      </w:pPr>
      <w:r w:rsidRPr="004025FB">
        <w:tab/>
        <w:t xml:space="preserve">Z hlediska dílčího úkolu je třeba konstatovat, že rok 2015 byl rokem neobvykle širokého spektra výstupů práce řešitelského týmu, když v tomto roce bylo vydáno hned několik velmi významných publikací (monografií, komentářů a studií). Celkem za celý tým „pracovní právo“ lze v roce 2015 evidovat 47 nejrůznějších výstupů s vročením 2015 či v tisku (detaily viz příloha), z toho celkem 28 publikačních výstupů bylo přímo dedikovaných pro PRVOUK 05 a 19 výstupů je </w:t>
      </w:r>
      <w:r w:rsidR="005A0C75">
        <w:t xml:space="preserve">sice </w:t>
      </w:r>
      <w:r w:rsidRPr="004025FB">
        <w:t xml:space="preserve">bez přímé dedikace (zejména publikace v zahraniční a další významné počiny), ale </w:t>
      </w:r>
      <w:r w:rsidR="005A0C75">
        <w:t xml:space="preserve">budou vykázány právě v rámci programu PRVOUK 05 (a nikoliv v jiných programech či grantech). </w:t>
      </w:r>
    </w:p>
    <w:p w:rsidR="004025FB" w:rsidRPr="004025FB" w:rsidRDefault="004025FB" w:rsidP="004025FB">
      <w:pPr>
        <w:jc w:val="both"/>
      </w:pPr>
      <w:r w:rsidRPr="004025FB">
        <w:tab/>
        <w:t>Vedle významných témat komplexně monograficky zpracovaných za významné účasti členů řešitelského týmu, byla pozornost členů týmu věnována, v souladu s definovanými cíli úkolu, také dílčím tématům, a to především v podobě odborných recenzovaných článků, dále kapitol v odborných knihách a v četných sbornících, včetně publikací v zahraničí či publikací cizojazyčných.</w:t>
      </w:r>
    </w:p>
    <w:p w:rsidR="004025FB" w:rsidRPr="004025FB" w:rsidRDefault="005A0C75" w:rsidP="004025FB">
      <w:pPr>
        <w:jc w:val="both"/>
      </w:pPr>
      <w:r>
        <w:tab/>
        <w:t xml:space="preserve">V dílčím úkolu </w:t>
      </w:r>
      <w:r w:rsidR="006631AF" w:rsidRPr="006631AF">
        <w:rPr>
          <w:b/>
        </w:rPr>
        <w:t>A</w:t>
      </w:r>
      <w:r w:rsidR="00A00288" w:rsidRPr="00A00288">
        <w:rPr>
          <w:b/>
        </w:rPr>
        <w:t>ktuální otázky autorského práva</w:t>
      </w:r>
      <w:r w:rsidR="00A00288" w:rsidRPr="00A00288">
        <w:t xml:space="preserve"> (vedoucí dílčího řešitelského týmu prof. Kříž)</w:t>
      </w:r>
      <w:r>
        <w:t xml:space="preserve"> bylo v</w:t>
      </w:r>
      <w:r w:rsidR="004025FB" w:rsidRPr="004025FB">
        <w:t xml:space="preserve"> souladu s plánem pokračováno v </w:t>
      </w:r>
      <w:r w:rsidR="004025FB" w:rsidRPr="004025FB">
        <w:rPr>
          <w:b/>
        </w:rPr>
        <w:t>mezinárodní spolupráci</w:t>
      </w:r>
      <w:r w:rsidR="004025FB" w:rsidRPr="004025FB">
        <w:t xml:space="preserve"> Ústavu zejm. s Ústavem informačního práva Právnické fakulty Univerzity Amsterdam a Technickou univerzitou Drážďany, která k nám též vysílá své studenty na roční stáže v rámci prolínajícího se programu LL.M. Nově se navázal kontakt s University of Washington School of Law, v rámci níž bylo Ústavem </w:t>
      </w:r>
      <w:r w:rsidR="004025FB" w:rsidRPr="006631AF">
        <w:t>organizováno kolokvium</w:t>
      </w:r>
      <w:r w:rsidR="004025FB" w:rsidRPr="004025FB">
        <w:rPr>
          <w:b/>
        </w:rPr>
        <w:t xml:space="preserve"> </w:t>
      </w:r>
      <w:r w:rsidR="004025FB" w:rsidRPr="004025FB">
        <w:t xml:space="preserve">na téma </w:t>
      </w:r>
      <w:r w:rsidR="004025FB" w:rsidRPr="004025FB">
        <w:rPr>
          <w:i/>
        </w:rPr>
        <w:t>News Aggregator Liability</w:t>
      </w:r>
      <w:r w:rsidR="004025FB" w:rsidRPr="004025FB">
        <w:rPr>
          <w:b/>
        </w:rPr>
        <w:t xml:space="preserve"> </w:t>
      </w:r>
      <w:r w:rsidR="004025FB" w:rsidRPr="004025FB">
        <w:t>25. 6. 2015 na PF UK</w:t>
      </w:r>
      <w:r w:rsidR="004025FB" w:rsidRPr="004025FB">
        <w:rPr>
          <w:b/>
        </w:rPr>
        <w:t xml:space="preserve"> </w:t>
      </w:r>
      <w:r w:rsidR="004025FB" w:rsidRPr="004025FB">
        <w:t>(vystoupení profesorky Toshiko Takenaka, LL.M., Ph.D., z University of Washington School of Law).</w:t>
      </w:r>
    </w:p>
    <w:p w:rsidR="004025FB" w:rsidRPr="004025FB" w:rsidRDefault="005A0C75" w:rsidP="004025FB">
      <w:pPr>
        <w:jc w:val="both"/>
      </w:pPr>
      <w:r>
        <w:tab/>
      </w:r>
      <w:r w:rsidR="004025FB" w:rsidRPr="004025FB">
        <w:t xml:space="preserve">Ústav pokračoval v činnosti v rámci </w:t>
      </w:r>
      <w:r w:rsidR="004025FB" w:rsidRPr="004025FB">
        <w:rPr>
          <w:i/>
        </w:rPr>
        <w:t>European Intellectual Property Teachers' Network (EIPTN)</w:t>
      </w:r>
      <w:r w:rsidR="004025FB" w:rsidRPr="004025FB">
        <w:t>,</w:t>
      </w:r>
      <w:r w:rsidR="004025FB" w:rsidRPr="004025FB">
        <w:rPr>
          <w:b/>
        </w:rPr>
        <w:t xml:space="preserve"> </w:t>
      </w:r>
      <w:r w:rsidR="004025FB" w:rsidRPr="004025FB">
        <w:t xml:space="preserve">zájmové skupiny sdružující pedagogy z Evropy v oblasti duševního vlastnictví, kde působíme i v organizačním výboru (P. Žikovská). </w:t>
      </w:r>
    </w:p>
    <w:p w:rsidR="004025FB" w:rsidRPr="004025FB" w:rsidRDefault="005A0C75" w:rsidP="004025FB">
      <w:pPr>
        <w:jc w:val="both"/>
      </w:pPr>
      <w:r>
        <w:tab/>
      </w:r>
      <w:r w:rsidR="004025FB" w:rsidRPr="004025FB">
        <w:t xml:space="preserve">Mezinárodní spolupráce mj. zvyšuje mezinárodní rozhled studentů garantovaných předmětů, především díky přednáškám zahraničních hostů a kolokviím. Současně napomáhá </w:t>
      </w:r>
      <w:r w:rsidR="004025FB" w:rsidRPr="004025FB">
        <w:rPr>
          <w:i/>
        </w:rPr>
        <w:t>vědeckým činnostem</w:t>
      </w:r>
      <w:r w:rsidR="004025FB" w:rsidRPr="004025FB">
        <w:t xml:space="preserve"> Ústavu a to zejm. publikační činnosti (viz především pravidelná roční kolektivní monografie Aktuální otázky práva autorského a práv průmyslových) a výchově postgraduálních studentů. Sekundárně byla využita i v roce 2015 ve znalecké činnosti Ústavu.</w:t>
      </w:r>
    </w:p>
    <w:p w:rsidR="004025FB" w:rsidRPr="004025FB" w:rsidRDefault="005A0C75" w:rsidP="004025FB">
      <w:pPr>
        <w:jc w:val="both"/>
      </w:pPr>
      <w:r>
        <w:tab/>
      </w:r>
      <w:r w:rsidR="004025FB" w:rsidRPr="004025FB">
        <w:t xml:space="preserve">PRVOUK </w:t>
      </w:r>
      <w:r>
        <w:t xml:space="preserve">05 </w:t>
      </w:r>
      <w:r w:rsidR="004025FB" w:rsidRPr="004025FB">
        <w:t>měl i v roce 2015 dopad rovněž do činnosti Ústavu v </w:t>
      </w:r>
      <w:r w:rsidR="004025FB" w:rsidRPr="004025FB">
        <w:rPr>
          <w:i/>
        </w:rPr>
        <w:t>oblasti legislativní</w:t>
      </w:r>
      <w:r w:rsidR="004025FB" w:rsidRPr="004025FB">
        <w:t xml:space="preserve">, zejména pak Autorského zákona v souvislosti s přípravou novelizace Ministerstvem kultury. V této souvislosti zmiňujeme, že </w:t>
      </w:r>
      <w:r w:rsidR="004025FB" w:rsidRPr="004025FB">
        <w:rPr>
          <w:bCs/>
          <w:iCs/>
        </w:rPr>
        <w:t>ÚAP a PP PF UK ve spolupráci s ČNS IFPI a ALAI Česká republika</w:t>
      </w:r>
      <w:r w:rsidR="004025FB" w:rsidRPr="004025FB">
        <w:rPr>
          <w:b/>
          <w:bCs/>
          <w:iCs/>
        </w:rPr>
        <w:t xml:space="preserve"> </w:t>
      </w:r>
      <w:r w:rsidR="004025FB" w:rsidRPr="004025FB">
        <w:rPr>
          <w:bCs/>
          <w:iCs/>
        </w:rPr>
        <w:t>[Association Littéraire et Artistique Internationale</w:t>
      </w:r>
      <w:r w:rsidR="004025FB" w:rsidRPr="004025FB">
        <w:rPr>
          <w:iCs/>
        </w:rPr>
        <w:t xml:space="preserve"> (Mezinárodní sdružení literární a umělecké)</w:t>
      </w:r>
      <w:r w:rsidR="004025FB" w:rsidRPr="004025FB">
        <w:rPr>
          <w:bCs/>
          <w:iCs/>
        </w:rPr>
        <w:t xml:space="preserve">] uspořádala k příležitosti letošního Světového dne duševního vlastnictví, který připadl na 26. 4. 2015, </w:t>
      </w:r>
      <w:r w:rsidR="004025FB" w:rsidRPr="006631AF">
        <w:rPr>
          <w:bCs/>
          <w:iCs/>
        </w:rPr>
        <w:t>veřejný seminář</w:t>
      </w:r>
      <w:r w:rsidR="004025FB" w:rsidRPr="004025FB">
        <w:rPr>
          <w:bCs/>
          <w:iCs/>
        </w:rPr>
        <w:t xml:space="preserve"> týkající se připravované novely autorského zákona. Seminář proběhl dne 28. 5. 2015 na PF UK. Přednášející </w:t>
      </w:r>
      <w:r w:rsidR="004025FB" w:rsidRPr="004025FB">
        <w:rPr>
          <w:iCs/>
        </w:rPr>
        <w:t>JUDr</w:t>
      </w:r>
      <w:r w:rsidR="004025FB" w:rsidRPr="004025FB">
        <w:rPr>
          <w:bCs/>
          <w:iCs/>
        </w:rPr>
        <w:t>. Adéla Faladová</w:t>
      </w:r>
      <w:r w:rsidR="004025FB" w:rsidRPr="004025FB">
        <w:rPr>
          <w:iCs/>
        </w:rPr>
        <w:t xml:space="preserve">, zástupkyně ředitele Odboru autorského práva Ministerstva kultury České republiky. </w:t>
      </w:r>
    </w:p>
    <w:p w:rsidR="004025FB" w:rsidRPr="004025FB" w:rsidRDefault="005A0C75" w:rsidP="004025FB">
      <w:pPr>
        <w:jc w:val="both"/>
        <w:rPr>
          <w:bCs/>
          <w:iCs/>
        </w:rPr>
      </w:pPr>
      <w:r>
        <w:lastRenderedPageBreak/>
        <w:tab/>
      </w:r>
      <w:r w:rsidR="004025FB" w:rsidRPr="004025FB">
        <w:t xml:space="preserve">V publikačních výstupech byla v souladu s plány a cíli především připravena </w:t>
      </w:r>
      <w:r w:rsidR="004025FB" w:rsidRPr="006631AF">
        <w:t xml:space="preserve">každoroční monografie </w:t>
      </w:r>
      <w:r w:rsidR="004025FB" w:rsidRPr="006631AF">
        <w:rPr>
          <w:i/>
        </w:rPr>
        <w:t>Aktuální otázky práva autorského a práv průmyslových 2015</w:t>
      </w:r>
      <w:r w:rsidR="004025FB" w:rsidRPr="006631AF">
        <w:t>,</w:t>
      </w:r>
      <w:r w:rsidR="004025FB" w:rsidRPr="004025FB">
        <w:t xml:space="preserve"> s podtitulem Reflexe komunitární regulace a vybrané aplikační problémy.</w:t>
      </w:r>
      <w:r w:rsidR="004025FB" w:rsidRPr="004025FB">
        <w:rPr>
          <w:bCs/>
          <w:iCs/>
        </w:rPr>
        <w:t xml:space="preserve"> </w:t>
      </w:r>
    </w:p>
    <w:p w:rsidR="004025FB" w:rsidRPr="004025FB" w:rsidRDefault="00B00D12" w:rsidP="004025FB">
      <w:pPr>
        <w:jc w:val="both"/>
      </w:pPr>
      <w:r>
        <w:tab/>
        <w:t xml:space="preserve">Rovněž dílčí úkol </w:t>
      </w:r>
      <w:r w:rsidR="006631AF" w:rsidRPr="006631AF">
        <w:rPr>
          <w:b/>
        </w:rPr>
        <w:t>H</w:t>
      </w:r>
      <w:r w:rsidR="004025FB" w:rsidRPr="003951E6">
        <w:rPr>
          <w:b/>
        </w:rPr>
        <w:t>istoricko-právní reflexe soukromého práva</w:t>
      </w:r>
      <w:r w:rsidR="004025FB" w:rsidRPr="003951E6">
        <w:t xml:space="preserve"> (vedoucí dílčího řešitelského týmu prof. Skřejpek)</w:t>
      </w:r>
      <w:r>
        <w:t xml:space="preserve"> pokračoval v plnění dříve stanovených cílů. </w:t>
      </w:r>
      <w:r w:rsidR="004025FB" w:rsidRPr="004025FB">
        <w:t>Stejně jako v minulém roce se činnost řešitelů soustředila na otázky spojené s novou úpravou občanského práva u nás. Zkoumány byly různé aspekty vztahu soukromého práva, zejména občanského zákoníku, k římskému právu. Pozornost byla soustředěna na dvě oblasti vědecké činnosti. První z nich se týkala rozboru jednotlivých institutů soukromého práva z hlediska práva římského, konkrétně se jednalo o hledání spojitostí a kořenů, z nichž moderní a soudobá úprava soukromoprávních vztahů vyrostla. V této souvislosti je třeba především zmínit autorskou účast řešitelů na Encyklopedii českých právních dějin, mnoho vystoupení na zahraničních i tuzemských vědeckých konferencích – především se jednalo o celosvětový kongres 69</w:t>
      </w:r>
      <w:r w:rsidR="004025FB" w:rsidRPr="004025FB">
        <w:rPr>
          <w:vertAlign w:val="superscript"/>
        </w:rPr>
        <w:t>e</w:t>
      </w:r>
      <w:r w:rsidR="004025FB" w:rsidRPr="004025FB">
        <w:t xml:space="preserve"> Session Société „Fernand de Visscher“ pour l'Histoire des Droits de L'Antiquité konaný v Istanbulu, XI seminario internazionale "Diritto romano e attualità“ v Novedrate, XVII. konferenci českých a slovenských romanistů a Dny práva, stejně jako publikaci článků i kapitol v monografiích.</w:t>
      </w:r>
    </w:p>
    <w:p w:rsidR="004025FB" w:rsidRPr="004025FB" w:rsidRDefault="00B00D12" w:rsidP="004025FB">
      <w:pPr>
        <w:jc w:val="both"/>
      </w:pPr>
      <w:r>
        <w:tab/>
      </w:r>
      <w:r w:rsidR="004025FB" w:rsidRPr="004025FB">
        <w:t>Druhou oblast pak představovala překladatelská činnost. V nakladatelství Karolinum byl vydán druhý díl ediční řady Fontes iuris romani obsahující překlad vybraných titulů z prvních patnácti knih justiniánských Digest. Tato kniha může pomoci také praktickým právníkům v nalézání vhodné argumentace, doplněna je totiž nejen o medailony římských právníků, ale především o podrobný věcný rejstřík.</w:t>
      </w:r>
    </w:p>
    <w:p w:rsidR="004025FB" w:rsidRDefault="00B00D12" w:rsidP="004025FB">
      <w:pPr>
        <w:jc w:val="both"/>
      </w:pPr>
      <w:r>
        <w:tab/>
      </w:r>
      <w:r w:rsidR="004025FB" w:rsidRPr="004025FB">
        <w:t>Významným výstupem byla také organizace dvou mezinárodních konferencí: „Římské právo v moderních kodifikacích“ (XVII. Konference českých a slovenských romanistů) v Praze a XI seminario internazionale „Diritto romano e attualità“ v Novedrate. Ve druhém uvedeném případě je prof. Skřejpek členem vědeckého výboru těchto konferencí.</w:t>
      </w:r>
    </w:p>
    <w:p w:rsidR="004025FB" w:rsidRDefault="00B00D12" w:rsidP="00B00D12">
      <w:pPr>
        <w:jc w:val="both"/>
      </w:pPr>
      <w:r>
        <w:tab/>
      </w:r>
      <w:r w:rsidR="004025FB" w:rsidRPr="00FD106E">
        <w:t xml:space="preserve">V rámci dílčího úkolu </w:t>
      </w:r>
      <w:r w:rsidR="006631AF">
        <w:rPr>
          <w:b/>
        </w:rPr>
        <w:t>V</w:t>
      </w:r>
      <w:r w:rsidR="004025FB" w:rsidRPr="00837CB9">
        <w:rPr>
          <w:b/>
        </w:rPr>
        <w:t>ybrané instituty soukromého práva</w:t>
      </w:r>
      <w:r w:rsidR="004025FB" w:rsidRPr="00FD106E">
        <w:t xml:space="preserve"> </w:t>
      </w:r>
      <w:r w:rsidR="004025FB">
        <w:t xml:space="preserve">řešeného nepedagogickým pracovištěm Centrum právní komparatistiky </w:t>
      </w:r>
      <w:r w:rsidR="004025FB" w:rsidRPr="00FD106E">
        <w:t>(vedoucí dílčího řešitelského týmu prof. Tichý)</w:t>
      </w:r>
      <w:r>
        <w:t xml:space="preserve"> </w:t>
      </w:r>
      <w:r w:rsidR="004025FB" w:rsidRPr="00980974">
        <w:t xml:space="preserve">plnili svůj dlouhodobý záměr obsažený v jejich plánu výzkumu na rok 2015. Jiří Hrádek vystoupil na výroční konferenci ECTIL ve Vídni, zúčastnil se společně s L. Tichým 3 mezinárodních projektů ECTIL, resp. EGTL. L. Tichý uveřejnil jednu zásadní studii v AUC týkající se odpovědnostního systému - o základních problémech prevence. V oblasti odpovědnosti za vady stojí za zmínku studie L. Tichého v AUC. Členové CPK B. Dvořák, P. Pipková, J. Hrádek, J. Balarin, E. Ondřejová a L. Tichý publikovali v časopise vydávaném budapešťskou Univerzitou ELTE své monografie na základě svých referátů na konferencích organizovaných ELTE Budapešť a PF UK Praha. Velmi aktivní byla Rita Sik-Simon, která kromě publikace v časopisu ELTE publikovala další 3 monografie v evropských časopisech. Členové CPK J. Hrádek, B. Dvořák, P. Pipková, E. Ondřejová, V. Zvánovec a L. Tichý se aktivně zúčastnili úspěšné konference o zneužití práva </w:t>
      </w:r>
      <w:r>
        <w:t xml:space="preserve">pořádané </w:t>
      </w:r>
      <w:r w:rsidR="004025FB" w:rsidRPr="00980974">
        <w:t>společně s Univerzitou Toulouse, kterou spoluorganizovala Solange Maslowski. CPK uspořádalo mimořádně významnou konferenci o fungování trustu a obdobných institutů v květnu v Praze. Aktuálním tématům soukromého práva bylo věnováno i 8 přednášek na fórech CPK.</w:t>
      </w:r>
    </w:p>
    <w:p w:rsidR="008D6EB6" w:rsidRDefault="008D6EB6" w:rsidP="00097D74">
      <w:pPr>
        <w:jc w:val="both"/>
      </w:pPr>
    </w:p>
    <w:p w:rsidR="00012042" w:rsidRDefault="00012042" w:rsidP="00097D74">
      <w:pPr>
        <w:jc w:val="both"/>
      </w:pPr>
      <w:r>
        <w:tab/>
        <w:t>Závěrem tedy lze konstatovat, že v roce 2015 byla napříč dílčími úkoly vydána řada profilujících publikací se značným významem jako v rovině pedagogické, tak odborně-praktické, a to od učebnic přes odborné komentáře zákonných textů, řada publikací v odborných periodikách, byly uspořádány konference a workshopy atd. Rovněž byla posílena mezinárodní spolupráce se zahraničními univerzitami napříč Evropou, členové řešitelského týmu mohli díky podpoře programu PRVOUK 05 důstojně reprezentovat českou privatistickou doktrínu na mnoha význa</w:t>
      </w:r>
      <w:r w:rsidR="00EB4F0D">
        <w:t>mných zahraničních konferencích a fórech.</w:t>
      </w:r>
    </w:p>
    <w:p w:rsidR="00012042" w:rsidRDefault="00012042" w:rsidP="00097D74">
      <w:pPr>
        <w:jc w:val="both"/>
      </w:pPr>
    </w:p>
    <w:p w:rsidR="00E1547C" w:rsidRPr="00A00288" w:rsidRDefault="00A00288" w:rsidP="00097D74">
      <w:pPr>
        <w:jc w:val="both"/>
        <w:rPr>
          <w:b/>
        </w:rPr>
      </w:pPr>
      <w:r w:rsidRPr="00A00288">
        <w:rPr>
          <w:b/>
        </w:rPr>
        <w:t>Termíny jednání rady programu v roce 2015:</w:t>
      </w:r>
    </w:p>
    <w:p w:rsidR="00A00288" w:rsidRDefault="00A00288" w:rsidP="00097D74">
      <w:pPr>
        <w:jc w:val="both"/>
      </w:pPr>
    </w:p>
    <w:p w:rsidR="000212A1" w:rsidRDefault="00A00288" w:rsidP="00097D74">
      <w:pPr>
        <w:jc w:val="both"/>
      </w:pPr>
      <w:r>
        <w:t>25. 06. 2015</w:t>
      </w:r>
    </w:p>
    <w:p w:rsidR="00A00288" w:rsidRDefault="00A00288" w:rsidP="00097D74">
      <w:pPr>
        <w:jc w:val="both"/>
      </w:pPr>
      <w:r>
        <w:t>12. 10. 2015</w:t>
      </w:r>
    </w:p>
    <w:p w:rsidR="00A00288" w:rsidRDefault="00A00288" w:rsidP="00097D74">
      <w:pPr>
        <w:jc w:val="both"/>
      </w:pPr>
    </w:p>
    <w:p w:rsidR="00A00288" w:rsidRDefault="00A00288" w:rsidP="00097D74">
      <w:pPr>
        <w:jc w:val="both"/>
      </w:pPr>
      <w:r>
        <w:t>Pozn.: neformální schůzky, na nichž byly operativně řešeny některé méně významné otázky (např. provozního rázu, probíhaly p</w:t>
      </w:r>
      <w:r w:rsidR="00EB4F0D">
        <w:t>r</w:t>
      </w:r>
      <w:r>
        <w:t>ůběžně).</w:t>
      </w:r>
    </w:p>
    <w:p w:rsidR="00A00288" w:rsidRPr="00D126F1" w:rsidRDefault="00A00288" w:rsidP="00097D74">
      <w:pPr>
        <w:jc w:val="both"/>
      </w:pPr>
    </w:p>
    <w:p w:rsidR="00D126F1" w:rsidRDefault="006603C4" w:rsidP="000212A1">
      <w:pPr>
        <w:keepNext/>
        <w:jc w:val="both"/>
        <w:rPr>
          <w:b/>
          <w:bCs/>
        </w:rPr>
      </w:pPr>
      <w:r>
        <w:rPr>
          <w:b/>
          <w:bCs/>
        </w:rPr>
        <w:t>A2</w:t>
      </w:r>
      <w:r w:rsidR="00D126F1">
        <w:rPr>
          <w:b/>
          <w:bCs/>
        </w:rPr>
        <w:t>.</w:t>
      </w:r>
    </w:p>
    <w:p w:rsidR="000212A1" w:rsidRPr="00C16C6F" w:rsidRDefault="000212A1" w:rsidP="000212A1">
      <w:pPr>
        <w:keepNext/>
        <w:jc w:val="both"/>
        <w:rPr>
          <w:b/>
          <w:bCs/>
        </w:rPr>
      </w:pPr>
      <w:r w:rsidRPr="00C16C6F">
        <w:rPr>
          <w:b/>
          <w:bCs/>
        </w:rPr>
        <w:t xml:space="preserve">Reflexe připomínek </w:t>
      </w:r>
    </w:p>
    <w:p w:rsidR="000212A1" w:rsidRPr="006603C4" w:rsidRDefault="000212A1" w:rsidP="000212A1">
      <w:pPr>
        <w:jc w:val="both"/>
        <w:rPr>
          <w:i/>
          <w:sz w:val="22"/>
          <w:szCs w:val="22"/>
        </w:rPr>
      </w:pPr>
      <w:r w:rsidRPr="006603C4">
        <w:rPr>
          <w:bCs/>
          <w:i/>
          <w:sz w:val="22"/>
          <w:szCs w:val="22"/>
        </w:rPr>
        <w:t xml:space="preserve">Jde o povinnou součást průběžné zprávy pouze u těchto programů: </w:t>
      </w:r>
      <w:r w:rsidR="00D126F1" w:rsidRPr="006603C4">
        <w:rPr>
          <w:i/>
          <w:sz w:val="22"/>
          <w:szCs w:val="22"/>
        </w:rPr>
        <w:t>P02, P04, P05, P06, P12, P15, P20, P22, P33, P38 a P39</w:t>
      </w:r>
      <w:r w:rsidRPr="006603C4">
        <w:rPr>
          <w:i/>
          <w:sz w:val="22"/>
          <w:szCs w:val="22"/>
        </w:rPr>
        <w:t xml:space="preserve">. </w:t>
      </w:r>
      <w:r w:rsidR="00D126F1" w:rsidRPr="006603C4">
        <w:rPr>
          <w:i/>
          <w:sz w:val="22"/>
          <w:szCs w:val="22"/>
        </w:rPr>
        <w:t>Zpracujte</w:t>
      </w:r>
      <w:r w:rsidRPr="006603C4">
        <w:rPr>
          <w:i/>
          <w:sz w:val="22"/>
          <w:szCs w:val="22"/>
        </w:rPr>
        <w:t xml:space="preserve"> reflexi připomínek uvedených v oponentním posudku k</w:t>
      </w:r>
      <w:r w:rsidR="00D126F1" w:rsidRPr="006603C4">
        <w:rPr>
          <w:i/>
          <w:sz w:val="22"/>
          <w:szCs w:val="22"/>
        </w:rPr>
        <w:t> průběžné zprávě o uskutečňování programu za rok 2014</w:t>
      </w:r>
      <w:r w:rsidRPr="006603C4">
        <w:rPr>
          <w:i/>
          <w:sz w:val="22"/>
          <w:szCs w:val="22"/>
        </w:rPr>
        <w:t>. Ocitujte vždy konkrétní připomínku a pod n</w:t>
      </w:r>
      <w:r w:rsidR="00D126F1" w:rsidRPr="006603C4">
        <w:rPr>
          <w:i/>
          <w:sz w:val="22"/>
          <w:szCs w:val="22"/>
        </w:rPr>
        <w:t>i</w:t>
      </w:r>
      <w:r w:rsidRPr="006603C4">
        <w:rPr>
          <w:i/>
          <w:sz w:val="22"/>
          <w:szCs w:val="22"/>
        </w:rPr>
        <w:t xml:space="preserve"> uveďte příslušný komentář.</w:t>
      </w:r>
    </w:p>
    <w:p w:rsidR="000212A1" w:rsidRDefault="000212A1" w:rsidP="00097D74">
      <w:pPr>
        <w:jc w:val="both"/>
      </w:pPr>
    </w:p>
    <w:p w:rsidR="004F6295" w:rsidRPr="004F6295" w:rsidRDefault="004F6295" w:rsidP="004F6295">
      <w:pPr>
        <w:jc w:val="both"/>
      </w:pPr>
      <w:r>
        <w:t xml:space="preserve">V oponentním posudku k průběžné zprávě o uskutečňování PRVOUK 05 za rok 2014 byla uvedena tato </w:t>
      </w:r>
      <w:r w:rsidRPr="00E07CD9">
        <w:rPr>
          <w:b/>
        </w:rPr>
        <w:t>připomínka</w:t>
      </w:r>
      <w:r>
        <w:t xml:space="preserve">: </w:t>
      </w:r>
      <w:r w:rsidRPr="004F6295">
        <w:rPr>
          <w:i/>
        </w:rPr>
        <w:t>„zamyslet se nad p</w:t>
      </w:r>
      <w:r w:rsidRPr="004F6295">
        <w:rPr>
          <w:rFonts w:hint="eastAsia"/>
          <w:i/>
        </w:rPr>
        <w:t>ří</w:t>
      </w:r>
      <w:r w:rsidRPr="004F6295">
        <w:rPr>
          <w:i/>
        </w:rPr>
        <w:t>padnou p</w:t>
      </w:r>
      <w:r w:rsidRPr="004F6295">
        <w:rPr>
          <w:rFonts w:hint="eastAsia"/>
          <w:i/>
        </w:rPr>
        <w:t>ří</w:t>
      </w:r>
      <w:r w:rsidRPr="004F6295">
        <w:rPr>
          <w:i/>
        </w:rPr>
        <w:t>pravou a vydáním monografie, jež by ucelen</w:t>
      </w:r>
      <w:r w:rsidRPr="004F6295">
        <w:rPr>
          <w:rFonts w:hint="eastAsia"/>
          <w:i/>
        </w:rPr>
        <w:t>ě</w:t>
      </w:r>
      <w:r w:rsidRPr="004F6295">
        <w:rPr>
          <w:i/>
        </w:rPr>
        <w:t xml:space="preserve"> prezentovala název programu, tj. Soukromé právo XXI. století s podstatnou reflexí podmínek v </w:t>
      </w:r>
      <w:r w:rsidRPr="004F6295">
        <w:rPr>
          <w:rFonts w:hint="eastAsia"/>
          <w:i/>
        </w:rPr>
        <w:t>Č</w:t>
      </w:r>
      <w:r w:rsidRPr="004F6295">
        <w:rPr>
          <w:i/>
        </w:rPr>
        <w:t>R - v tomto smyslu by m</w:t>
      </w:r>
      <w:r w:rsidRPr="004F6295">
        <w:rPr>
          <w:rFonts w:hint="eastAsia"/>
          <w:i/>
        </w:rPr>
        <w:t>ě</w:t>
      </w:r>
      <w:r w:rsidRPr="004F6295">
        <w:rPr>
          <w:i/>
        </w:rPr>
        <w:t>la zaplnit (doposud) chyb</w:t>
      </w:r>
      <w:r w:rsidRPr="004F6295">
        <w:rPr>
          <w:rFonts w:hint="eastAsia"/>
          <w:i/>
        </w:rPr>
        <w:t>ě</w:t>
      </w:r>
      <w:r w:rsidRPr="004F6295">
        <w:rPr>
          <w:i/>
        </w:rPr>
        <w:t>j</w:t>
      </w:r>
      <w:r w:rsidRPr="004F6295">
        <w:rPr>
          <w:rFonts w:hint="eastAsia"/>
          <w:i/>
        </w:rPr>
        <w:t>í</w:t>
      </w:r>
      <w:r w:rsidRPr="004F6295">
        <w:rPr>
          <w:i/>
        </w:rPr>
        <w:t>c</w:t>
      </w:r>
      <w:r w:rsidRPr="004F6295">
        <w:rPr>
          <w:rFonts w:hint="eastAsia"/>
          <w:i/>
        </w:rPr>
        <w:t>í</w:t>
      </w:r>
      <w:r w:rsidRPr="004F6295">
        <w:rPr>
          <w:i/>
        </w:rPr>
        <w:t xml:space="preserve"> zahrani</w:t>
      </w:r>
      <w:r w:rsidRPr="004F6295">
        <w:rPr>
          <w:rFonts w:hint="eastAsia"/>
          <w:i/>
        </w:rPr>
        <w:t>č</w:t>
      </w:r>
      <w:r w:rsidRPr="004F6295">
        <w:rPr>
          <w:i/>
        </w:rPr>
        <w:t>n</w:t>
      </w:r>
      <w:r w:rsidRPr="004F6295">
        <w:rPr>
          <w:rFonts w:hint="eastAsia"/>
          <w:i/>
        </w:rPr>
        <w:t>í</w:t>
      </w:r>
      <w:r w:rsidRPr="004F6295">
        <w:rPr>
          <w:i/>
        </w:rPr>
        <w:t xml:space="preserve"> monografii (viz p</w:t>
      </w:r>
      <w:r w:rsidRPr="004F6295">
        <w:rPr>
          <w:rFonts w:hint="eastAsia"/>
          <w:i/>
        </w:rPr>
        <w:t>ř</w:t>
      </w:r>
      <w:r w:rsidRPr="004F6295">
        <w:rPr>
          <w:i/>
        </w:rPr>
        <w:t>ehled publika</w:t>
      </w:r>
      <w:r w:rsidRPr="004F6295">
        <w:rPr>
          <w:rFonts w:hint="eastAsia"/>
          <w:i/>
        </w:rPr>
        <w:t>č</w:t>
      </w:r>
      <w:r w:rsidRPr="004F6295">
        <w:rPr>
          <w:i/>
        </w:rPr>
        <w:t>n</w:t>
      </w:r>
      <w:r w:rsidRPr="004F6295">
        <w:rPr>
          <w:rFonts w:hint="eastAsia"/>
          <w:i/>
        </w:rPr>
        <w:t>í</w:t>
      </w:r>
      <w:r w:rsidRPr="004F6295">
        <w:rPr>
          <w:i/>
        </w:rPr>
        <w:t xml:space="preserve"> </w:t>
      </w:r>
      <w:r w:rsidRPr="004F6295">
        <w:rPr>
          <w:rFonts w:hint="eastAsia"/>
          <w:i/>
        </w:rPr>
        <w:t>č</w:t>
      </w:r>
      <w:r w:rsidRPr="004F6295">
        <w:rPr>
          <w:i/>
        </w:rPr>
        <w:t xml:space="preserve">innosti) </w:t>
      </w:r>
      <w:r w:rsidRPr="004F6295">
        <w:rPr>
          <w:i/>
          <w:iCs/>
        </w:rPr>
        <w:t xml:space="preserve">Poznámka: </w:t>
      </w:r>
      <w:r w:rsidRPr="004F6295">
        <w:rPr>
          <w:i/>
        </w:rPr>
        <w:t>hodnotitel však nevylu</w:t>
      </w:r>
      <w:r w:rsidRPr="004F6295">
        <w:rPr>
          <w:rFonts w:hint="eastAsia"/>
          <w:i/>
        </w:rPr>
        <w:t>č</w:t>
      </w:r>
      <w:r w:rsidRPr="004F6295">
        <w:rPr>
          <w:i/>
        </w:rPr>
        <w:t>uje, že toto doporu</w:t>
      </w:r>
      <w:r w:rsidRPr="004F6295">
        <w:rPr>
          <w:rFonts w:hint="eastAsia"/>
          <w:i/>
        </w:rPr>
        <w:t>č</w:t>
      </w:r>
      <w:r w:rsidRPr="004F6295">
        <w:rPr>
          <w:i/>
        </w:rPr>
        <w:t>en</w:t>
      </w:r>
      <w:r w:rsidRPr="004F6295">
        <w:rPr>
          <w:rFonts w:hint="eastAsia"/>
          <w:i/>
        </w:rPr>
        <w:t>í</w:t>
      </w:r>
      <w:r w:rsidRPr="004F6295">
        <w:rPr>
          <w:i/>
        </w:rPr>
        <w:t xml:space="preserve"> je nadbyte</w:t>
      </w:r>
      <w:r w:rsidRPr="004F6295">
        <w:rPr>
          <w:rFonts w:hint="eastAsia"/>
          <w:i/>
        </w:rPr>
        <w:t>č</w:t>
      </w:r>
      <w:r w:rsidRPr="004F6295">
        <w:rPr>
          <w:i/>
        </w:rPr>
        <w:t>n</w:t>
      </w:r>
      <w:r w:rsidRPr="004F6295">
        <w:rPr>
          <w:rFonts w:hint="eastAsia"/>
          <w:i/>
        </w:rPr>
        <w:t>é</w:t>
      </w:r>
      <w:r w:rsidRPr="004F6295">
        <w:rPr>
          <w:i/>
        </w:rPr>
        <w:t>, nebo</w:t>
      </w:r>
      <w:r w:rsidRPr="004F6295">
        <w:rPr>
          <w:rFonts w:hint="eastAsia"/>
          <w:i/>
        </w:rPr>
        <w:t>ť</w:t>
      </w:r>
      <w:r w:rsidRPr="004F6295">
        <w:rPr>
          <w:i/>
        </w:rPr>
        <w:t xml:space="preserve"> jej </w:t>
      </w:r>
      <w:r w:rsidRPr="004F6295">
        <w:rPr>
          <w:rFonts w:hint="eastAsia"/>
          <w:i/>
        </w:rPr>
        <w:t>ř</w:t>
      </w:r>
      <w:r w:rsidRPr="004F6295">
        <w:rPr>
          <w:i/>
        </w:rPr>
        <w:t>e</w:t>
      </w:r>
      <w:r w:rsidRPr="004F6295">
        <w:rPr>
          <w:rFonts w:hint="eastAsia"/>
          <w:i/>
        </w:rPr>
        <w:t>š</w:t>
      </w:r>
      <w:r w:rsidRPr="004F6295">
        <w:rPr>
          <w:i/>
        </w:rPr>
        <w:t>itel</w:t>
      </w:r>
      <w:r w:rsidRPr="004F6295">
        <w:rPr>
          <w:rFonts w:hint="eastAsia"/>
          <w:i/>
        </w:rPr>
        <w:t>é</w:t>
      </w:r>
      <w:r w:rsidRPr="004F6295">
        <w:rPr>
          <w:i/>
        </w:rPr>
        <w:t xml:space="preserve"> mají v úmyslu.“</w:t>
      </w:r>
      <w:r>
        <w:t xml:space="preserve"> </w:t>
      </w:r>
    </w:p>
    <w:p w:rsidR="004F6295" w:rsidRDefault="004F6295" w:rsidP="00097D74">
      <w:pPr>
        <w:jc w:val="both"/>
      </w:pPr>
    </w:p>
    <w:p w:rsidR="004F6295" w:rsidRDefault="00E07CD9" w:rsidP="00097D74">
      <w:pPr>
        <w:jc w:val="both"/>
      </w:pPr>
      <w:r w:rsidRPr="00E07CD9">
        <w:rPr>
          <w:b/>
        </w:rPr>
        <w:t>Reflexe:</w:t>
      </w:r>
      <w:r>
        <w:t xml:space="preserve"> </w:t>
      </w:r>
      <w:r w:rsidR="004F6295">
        <w:t>V souvislosti s přípravou mezinárodní konference, která bude společným výstupem programů P04, P05 a P06</w:t>
      </w:r>
      <w:r w:rsidR="00AF0F97">
        <w:t xml:space="preserve"> </w:t>
      </w:r>
      <w:r w:rsidR="004F6295">
        <w:t xml:space="preserve">lze předpokládat, že z konference vzejde podnět k přípravě monografie, která </w:t>
      </w:r>
      <w:r w:rsidR="002E7700">
        <w:t xml:space="preserve">bude na základě výstupů a výsledků uskutečňování programu P05 přehledně reflektovat současný stav a další perspektivy </w:t>
      </w:r>
      <w:r w:rsidR="001264EF">
        <w:t xml:space="preserve">soukromého práva, a to v kontextu jeho historického vývoje </w:t>
      </w:r>
      <w:r w:rsidR="002E7700">
        <w:t xml:space="preserve">v ČR </w:t>
      </w:r>
      <w:r w:rsidR="001264EF">
        <w:t>napříč 21. stoletím</w:t>
      </w:r>
      <w:r w:rsidR="002E7700">
        <w:t xml:space="preserve">. </w:t>
      </w:r>
      <w:r w:rsidR="00AF0F97">
        <w:t>Tato monografie tak bude mít nepochybně značnou vědeckou hodnotu také pro zahraniční odbornou veřejnost a zejm.</w:t>
      </w:r>
      <w:r w:rsidR="0035415C">
        <w:t xml:space="preserve"> </w:t>
      </w:r>
      <w:r w:rsidR="00AF0F97">
        <w:t xml:space="preserve">pro zahraniční pracoviště zaměřené na právní komparatistiku, neboť poskytne aktuální reflexi </w:t>
      </w:r>
      <w:r w:rsidR="001264EF">
        <w:t xml:space="preserve">historických východisek, současného </w:t>
      </w:r>
      <w:r w:rsidR="00AF0F97">
        <w:t xml:space="preserve">stavu a perspektiv soukromého práva </w:t>
      </w:r>
      <w:r w:rsidR="0035415C">
        <w:t xml:space="preserve">v ČR. V zájmu zpřístupnění této publikace co nejširšímu okruhu (zahraniční) odborné veřejnosti bude tato publikace samozřejmě vydána v anglickém </w:t>
      </w:r>
      <w:r w:rsidR="001264EF">
        <w:t>jazyce, vzhledem k rozvinuté mezinárodní spolupráci lze očekávat, že se podaří zajistit její publikaci v zahraničí (např. Německo).</w:t>
      </w:r>
    </w:p>
    <w:p w:rsidR="004F6295" w:rsidRPr="00D126F1" w:rsidRDefault="004F6295" w:rsidP="00097D74">
      <w:pPr>
        <w:jc w:val="both"/>
      </w:pPr>
    </w:p>
    <w:p w:rsidR="000212A1" w:rsidRPr="00D126F1" w:rsidRDefault="000212A1" w:rsidP="00097D74">
      <w:pPr>
        <w:jc w:val="both"/>
      </w:pPr>
    </w:p>
    <w:p w:rsidR="000212A1" w:rsidRPr="0075347D" w:rsidRDefault="006603C4" w:rsidP="000212A1">
      <w:pPr>
        <w:keepNext/>
        <w:jc w:val="both"/>
        <w:rPr>
          <w:b/>
        </w:rPr>
      </w:pPr>
      <w:r>
        <w:rPr>
          <w:b/>
        </w:rPr>
        <w:t>A3</w:t>
      </w:r>
      <w:r w:rsidR="000212A1" w:rsidRPr="0075347D">
        <w:rPr>
          <w:b/>
        </w:rPr>
        <w:t>.</w:t>
      </w:r>
    </w:p>
    <w:p w:rsidR="000212A1" w:rsidRPr="00D126F1" w:rsidRDefault="000212A1" w:rsidP="000212A1">
      <w:pPr>
        <w:keepNext/>
        <w:jc w:val="both"/>
        <w:rPr>
          <w:b/>
        </w:rPr>
      </w:pPr>
      <w:r w:rsidRPr="00D126F1">
        <w:rPr>
          <w:b/>
        </w:rPr>
        <w:t>Výsledky uskutečňování programu</w:t>
      </w:r>
    </w:p>
    <w:p w:rsidR="000212A1" w:rsidRPr="006603C4" w:rsidRDefault="000212A1" w:rsidP="000212A1">
      <w:pPr>
        <w:keepNext/>
        <w:jc w:val="both"/>
        <w:rPr>
          <w:i/>
          <w:sz w:val="22"/>
          <w:szCs w:val="22"/>
        </w:rPr>
      </w:pPr>
      <w:r w:rsidRPr="006603C4">
        <w:rPr>
          <w:i/>
          <w:sz w:val="22"/>
          <w:szCs w:val="22"/>
        </w:rPr>
        <w:t xml:space="preserve">Podejte výčet </w:t>
      </w:r>
      <w:r w:rsidR="0086422D" w:rsidRPr="006603C4">
        <w:rPr>
          <w:i/>
          <w:sz w:val="22"/>
          <w:szCs w:val="22"/>
          <w:u w:val="single"/>
        </w:rPr>
        <w:t>nanejvýš</w:t>
      </w:r>
      <w:r w:rsidRPr="006603C4">
        <w:rPr>
          <w:i/>
          <w:sz w:val="22"/>
          <w:szCs w:val="22"/>
          <w:u w:val="single"/>
        </w:rPr>
        <w:t xml:space="preserve"> deseti</w:t>
      </w:r>
      <w:r w:rsidRPr="006603C4">
        <w:rPr>
          <w:i/>
          <w:sz w:val="22"/>
          <w:szCs w:val="22"/>
        </w:rPr>
        <w:t xml:space="preserve"> nejvýznamnějších výsledků vytvořených v rámci programu za rok 201</w:t>
      </w:r>
      <w:r w:rsidR="00125DAE" w:rsidRPr="006603C4">
        <w:rPr>
          <w:i/>
          <w:sz w:val="22"/>
          <w:szCs w:val="22"/>
        </w:rPr>
        <w:t>5.</w:t>
      </w:r>
      <w:r w:rsidRPr="006603C4">
        <w:rPr>
          <w:i/>
          <w:sz w:val="22"/>
          <w:szCs w:val="22"/>
        </w:rPr>
        <w:t xml:space="preserve"> </w:t>
      </w:r>
      <w:r w:rsidR="0086422D" w:rsidRPr="006603C4">
        <w:rPr>
          <w:i/>
          <w:sz w:val="22"/>
          <w:szCs w:val="22"/>
        </w:rPr>
        <w:t>Uvádějte jen výsledky publikované nebo přijaté k publikaci v roce 2015</w:t>
      </w:r>
      <w:r w:rsidR="00F745B1" w:rsidRPr="006603C4">
        <w:rPr>
          <w:i/>
          <w:sz w:val="22"/>
          <w:szCs w:val="22"/>
        </w:rPr>
        <w:t>;</w:t>
      </w:r>
      <w:r w:rsidR="0086422D" w:rsidRPr="006603C4">
        <w:rPr>
          <w:i/>
          <w:sz w:val="22"/>
          <w:szCs w:val="22"/>
        </w:rPr>
        <w:t xml:space="preserve"> výsledky, které byly v r. 2015 teprve přijaty</w:t>
      </w:r>
      <w:r w:rsidR="00F745B1" w:rsidRPr="006603C4">
        <w:rPr>
          <w:i/>
          <w:sz w:val="22"/>
          <w:szCs w:val="22"/>
        </w:rPr>
        <w:t xml:space="preserve"> k publikaci, opatřete poznámkou</w:t>
      </w:r>
      <w:r w:rsidR="0086422D" w:rsidRPr="006603C4">
        <w:rPr>
          <w:i/>
          <w:sz w:val="22"/>
          <w:szCs w:val="22"/>
        </w:rPr>
        <w:t xml:space="preserve">. </w:t>
      </w:r>
      <w:r w:rsidR="00F745B1" w:rsidRPr="006603C4">
        <w:rPr>
          <w:i/>
          <w:sz w:val="22"/>
          <w:szCs w:val="22"/>
        </w:rPr>
        <w:t xml:space="preserve">U každého výsledku uveďte plnou citaci, případně </w:t>
      </w:r>
      <w:r w:rsidR="006F0CBC" w:rsidRPr="006603C4">
        <w:rPr>
          <w:i/>
          <w:sz w:val="22"/>
          <w:szCs w:val="22"/>
        </w:rPr>
        <w:t>i</w:t>
      </w:r>
      <w:r w:rsidR="00F745B1" w:rsidRPr="006603C4">
        <w:rPr>
          <w:i/>
          <w:sz w:val="22"/>
          <w:szCs w:val="22"/>
        </w:rPr>
        <w:t xml:space="preserve"> odkaz na fulltext. </w:t>
      </w:r>
      <w:r w:rsidRPr="006603C4">
        <w:rPr>
          <w:i/>
          <w:sz w:val="22"/>
          <w:szCs w:val="22"/>
        </w:rPr>
        <w:t>U společných programů vyznačte, které výsledky vznikly v rámci mezifakultní spolupráce.</w:t>
      </w:r>
    </w:p>
    <w:p w:rsidR="0086422D" w:rsidRPr="006603C4" w:rsidRDefault="0086422D" w:rsidP="000212A1">
      <w:pPr>
        <w:keepNext/>
        <w:jc w:val="both"/>
        <w:rPr>
          <w:i/>
          <w:sz w:val="22"/>
          <w:szCs w:val="22"/>
        </w:rPr>
      </w:pPr>
      <w:r w:rsidRPr="006603C4">
        <w:rPr>
          <w:i/>
          <w:sz w:val="22"/>
          <w:szCs w:val="22"/>
        </w:rPr>
        <w:t>Výsledky zde uvedené musí být evidovány v</w:t>
      </w:r>
      <w:r w:rsidR="006603C4">
        <w:rPr>
          <w:i/>
          <w:sz w:val="22"/>
          <w:szCs w:val="22"/>
        </w:rPr>
        <w:t xml:space="preserve"> celouniverzitní verzi </w:t>
      </w:r>
      <w:r w:rsidRPr="006603C4">
        <w:rPr>
          <w:i/>
          <w:sz w:val="22"/>
          <w:szCs w:val="22"/>
        </w:rPr>
        <w:t>aplikac</w:t>
      </w:r>
      <w:r w:rsidR="006603C4">
        <w:rPr>
          <w:i/>
          <w:sz w:val="22"/>
          <w:szCs w:val="22"/>
        </w:rPr>
        <w:t>e</w:t>
      </w:r>
      <w:r w:rsidRPr="006603C4">
        <w:rPr>
          <w:i/>
          <w:sz w:val="22"/>
          <w:szCs w:val="22"/>
        </w:rPr>
        <w:t xml:space="preserve"> OBD (výjimkou jsou pouze výsledky teprve přijaté k</w:t>
      </w:r>
      <w:r w:rsidR="008E01BF" w:rsidRPr="006603C4">
        <w:rPr>
          <w:i/>
          <w:sz w:val="22"/>
          <w:szCs w:val="22"/>
        </w:rPr>
        <w:t> </w:t>
      </w:r>
      <w:r w:rsidRPr="006603C4">
        <w:rPr>
          <w:i/>
          <w:sz w:val="22"/>
          <w:szCs w:val="22"/>
        </w:rPr>
        <w:t>publikaci</w:t>
      </w:r>
      <w:r w:rsidR="008E01BF" w:rsidRPr="006603C4">
        <w:rPr>
          <w:i/>
          <w:sz w:val="22"/>
          <w:szCs w:val="22"/>
        </w:rPr>
        <w:t xml:space="preserve"> </w:t>
      </w:r>
      <w:r w:rsidR="006603C4">
        <w:rPr>
          <w:i/>
          <w:sz w:val="22"/>
          <w:szCs w:val="22"/>
        </w:rPr>
        <w:t>a výsledky fakult / VŠ ústavů, které nedisponují celouniverzitní verzí OBD).</w:t>
      </w:r>
    </w:p>
    <w:p w:rsidR="000212A1" w:rsidRDefault="000212A1" w:rsidP="000212A1">
      <w:pPr>
        <w:jc w:val="both"/>
      </w:pPr>
    </w:p>
    <w:p w:rsidR="006F0CBC" w:rsidRDefault="00EB4F0D" w:rsidP="000212A1">
      <w:pPr>
        <w:jc w:val="both"/>
      </w:pPr>
      <w:r>
        <w:t xml:space="preserve">1) </w:t>
      </w:r>
      <w:r w:rsidR="009E4279">
        <w:t xml:space="preserve">Dvořák, J.; Švestka, J. at al.: </w:t>
      </w:r>
      <w:r w:rsidR="009E4279" w:rsidRPr="008829C5">
        <w:rPr>
          <w:i/>
        </w:rPr>
        <w:t>Občanské právo hmotné. Díl třetí: Věcná práva.</w:t>
      </w:r>
      <w:r w:rsidR="009E4279">
        <w:t xml:space="preserve"> Praha: Wolters Kluwer, 2015, 228 s.</w:t>
      </w:r>
      <w:r w:rsidR="00795148">
        <w:t xml:space="preserve"> ISBN 978-80-7478-935-9.</w:t>
      </w:r>
    </w:p>
    <w:p w:rsidR="00EB4F0D" w:rsidRDefault="00EB4F0D" w:rsidP="000212A1">
      <w:pPr>
        <w:jc w:val="both"/>
      </w:pPr>
    </w:p>
    <w:p w:rsidR="009E4279" w:rsidRDefault="009E4279" w:rsidP="000212A1">
      <w:pPr>
        <w:jc w:val="both"/>
      </w:pPr>
      <w:r>
        <w:lastRenderedPageBreak/>
        <w:t xml:space="preserve">2) Winterová A.; Macková A. a kol.: </w:t>
      </w:r>
      <w:r w:rsidRPr="008829C5">
        <w:rPr>
          <w:i/>
        </w:rPr>
        <w:t>Civilní právo procesní. Část druhá: řízení vykonávací, řízení insolvenční.</w:t>
      </w:r>
      <w:r>
        <w:t xml:space="preserve"> Praha: Leges, 2015, 352s.</w:t>
      </w:r>
      <w:r w:rsidR="00795148">
        <w:t xml:space="preserve"> SIBN 978-80-7502-076-5.</w:t>
      </w:r>
    </w:p>
    <w:p w:rsidR="009E4279" w:rsidRDefault="009E4279" w:rsidP="000212A1">
      <w:pPr>
        <w:jc w:val="both"/>
      </w:pPr>
    </w:p>
    <w:p w:rsidR="00EB4F0D" w:rsidRPr="00EB4F0D" w:rsidRDefault="009E4279" w:rsidP="000212A1">
      <w:pPr>
        <w:jc w:val="both"/>
      </w:pPr>
      <w:r>
        <w:t>3</w:t>
      </w:r>
      <w:r w:rsidR="00EB4F0D">
        <w:t>)</w:t>
      </w:r>
      <w:r w:rsidR="00EB4F0D" w:rsidRPr="00EB4F0D">
        <w:t xml:space="preserve"> Černá, S., Štenglová I., Pelikánová, I. a kolektiv: </w:t>
      </w:r>
      <w:r w:rsidR="00EB4F0D" w:rsidRPr="008829C5">
        <w:rPr>
          <w:i/>
        </w:rPr>
        <w:t>Právo obchodních korporací.</w:t>
      </w:r>
      <w:r w:rsidR="00EB4F0D" w:rsidRPr="00EB4F0D">
        <w:t xml:space="preserve"> Wolters Kluwer 2015, 640</w:t>
      </w:r>
      <w:r>
        <w:t xml:space="preserve"> </w:t>
      </w:r>
      <w:r w:rsidR="00795148">
        <w:t>s. ISBN 978-80-7478-735-5.</w:t>
      </w:r>
    </w:p>
    <w:p w:rsidR="00EB4F0D" w:rsidRDefault="00EB4F0D" w:rsidP="000212A1">
      <w:pPr>
        <w:jc w:val="both"/>
      </w:pPr>
    </w:p>
    <w:p w:rsidR="00EB4F0D" w:rsidRDefault="009E4279" w:rsidP="000212A1">
      <w:pPr>
        <w:jc w:val="both"/>
      </w:pPr>
      <w:r>
        <w:t>4)</w:t>
      </w:r>
      <w:r w:rsidR="00EB4F0D">
        <w:t xml:space="preserve"> </w:t>
      </w:r>
      <w:r w:rsidR="00EB4F0D" w:rsidRPr="00A20D03">
        <w:t>K</w:t>
      </w:r>
      <w:r w:rsidRPr="00A20D03">
        <w:t>učera</w:t>
      </w:r>
      <w:r w:rsidR="00EB4F0D" w:rsidRPr="00A20D03">
        <w:t>, Z.; P</w:t>
      </w:r>
      <w:r w:rsidRPr="00A20D03">
        <w:t>auknerov</w:t>
      </w:r>
      <w:r>
        <w:t>á</w:t>
      </w:r>
      <w:r w:rsidR="00EB4F0D" w:rsidRPr="00A20D03">
        <w:t>, M.; R</w:t>
      </w:r>
      <w:r w:rsidRPr="00A20D03">
        <w:t>ůžička</w:t>
      </w:r>
      <w:r w:rsidR="00EB4F0D" w:rsidRPr="00A20D03">
        <w:t xml:space="preserve">, K. et al. </w:t>
      </w:r>
      <w:r w:rsidR="00EB4F0D" w:rsidRPr="00A20D03">
        <w:rPr>
          <w:i/>
        </w:rPr>
        <w:t>Mezinárodní právo soukromé</w:t>
      </w:r>
      <w:r w:rsidR="00EB4F0D" w:rsidRPr="00A20D03">
        <w:t>, 8. vydání, Plzeň – B</w:t>
      </w:r>
      <w:r>
        <w:t>rno. Aleš Čeněk – Doplněk, 2015, 432 s.</w:t>
      </w:r>
      <w:r w:rsidR="00795148">
        <w:t xml:space="preserve"> ISBN 978-80-7380-550-0.</w:t>
      </w:r>
    </w:p>
    <w:p w:rsidR="00EB4F0D" w:rsidRDefault="00EB4F0D" w:rsidP="000212A1">
      <w:pPr>
        <w:jc w:val="both"/>
      </w:pPr>
    </w:p>
    <w:p w:rsidR="009E4279" w:rsidRDefault="009E4279" w:rsidP="000212A1">
      <w:pPr>
        <w:jc w:val="both"/>
      </w:pPr>
      <w:r>
        <w:t xml:space="preserve">5) </w:t>
      </w:r>
      <w:r w:rsidR="00627637">
        <w:t>P</w:t>
      </w:r>
      <w:r w:rsidR="00627637" w:rsidRPr="00A20D03">
        <w:t>auknerová,</w:t>
      </w:r>
      <w:r w:rsidR="00627637">
        <w:t xml:space="preserve"> M.;</w:t>
      </w:r>
      <w:r w:rsidR="00627637" w:rsidRPr="00A20D03">
        <w:t xml:space="preserve"> </w:t>
      </w:r>
      <w:r w:rsidR="00627637">
        <w:t>P</w:t>
      </w:r>
      <w:r w:rsidR="00627637" w:rsidRPr="00A20D03">
        <w:t>feiffer, M</w:t>
      </w:r>
      <w:r w:rsidR="00627637">
        <w:t>.:</w:t>
      </w:r>
      <w:r w:rsidR="00627637" w:rsidRPr="00A20D03">
        <w:t xml:space="preserve"> Act on Mediation – Significant Step on a Long Way to Make Mediation Work in the Czech Republic. In: ESPLUGUES, Carlos, MARQUIS, Louis (Eds.). </w:t>
      </w:r>
      <w:r w:rsidR="00627637" w:rsidRPr="00A20D03">
        <w:rPr>
          <w:i/>
        </w:rPr>
        <w:t>New Developments in Civil and Commercial Mediation. Global Comparative Perspective</w:t>
      </w:r>
      <w:r w:rsidR="00627637" w:rsidRPr="00A20D03">
        <w:t>. Springer, 2015, s. 225 – 244.</w:t>
      </w:r>
      <w:r w:rsidR="00795148">
        <w:t xml:space="preserve"> ISBN 978-3-319-18134-9.</w:t>
      </w:r>
    </w:p>
    <w:p w:rsidR="009E4279" w:rsidRDefault="009E4279" w:rsidP="000212A1">
      <w:pPr>
        <w:jc w:val="both"/>
      </w:pPr>
    </w:p>
    <w:p w:rsidR="00EB4F0D" w:rsidRDefault="009E4279" w:rsidP="000212A1">
      <w:pPr>
        <w:jc w:val="both"/>
      </w:pPr>
      <w:r>
        <w:t>6</w:t>
      </w:r>
      <w:r w:rsidR="00EB4F0D">
        <w:t xml:space="preserve">) </w:t>
      </w:r>
      <w:r w:rsidRPr="00F54417">
        <w:t xml:space="preserve">Pichrt, J.; Štefko, M.: </w:t>
      </w:r>
      <w:r>
        <w:t xml:space="preserve"> </w:t>
      </w:r>
      <w:r>
        <w:rPr>
          <w:i/>
        </w:rPr>
        <w:t xml:space="preserve">Labour </w:t>
      </w:r>
      <w:r w:rsidRPr="00143C70">
        <w:rPr>
          <w:i/>
        </w:rPr>
        <w:t xml:space="preserve"> Law in the Czech Republic</w:t>
      </w:r>
      <w:r w:rsidRPr="00A242B3">
        <w:rPr>
          <w:i/>
        </w:rPr>
        <w:t>.</w:t>
      </w:r>
      <w:r w:rsidRPr="00A242B3">
        <w:t xml:space="preserve"> </w:t>
      </w:r>
      <w:r>
        <w:t xml:space="preserve">(Second edition). </w:t>
      </w:r>
      <w:r w:rsidRPr="00A242B3">
        <w:t xml:space="preserve">In </w:t>
      </w:r>
      <w:r>
        <w:t xml:space="preserve">the </w:t>
      </w:r>
      <w:r w:rsidRPr="00A242B3">
        <w:t>International Encyclopaedia of</w:t>
      </w:r>
      <w:r>
        <w:t xml:space="preserve"> Laws/</w:t>
      </w:r>
      <w:r w:rsidRPr="00A242B3">
        <w:t xml:space="preserve"> Labour Law and Industrial Relations,</w:t>
      </w:r>
      <w:r>
        <w:t xml:space="preserve"> </w:t>
      </w:r>
      <w:r w:rsidRPr="00A242B3">
        <w:t xml:space="preserve"> edited by Roger Blanpain</w:t>
      </w:r>
      <w:r>
        <w:t>,  Frank Hendrickx</w:t>
      </w:r>
      <w:r w:rsidRPr="00A242B3">
        <w:t xml:space="preserve">. </w:t>
      </w:r>
      <w:r>
        <w:t xml:space="preserve"> </w:t>
      </w:r>
      <w:r w:rsidRPr="00A242B3">
        <w:t xml:space="preserve">Alphen aan den Rijn, </w:t>
      </w:r>
      <w:r>
        <w:t xml:space="preserve">Kluwer Law </w:t>
      </w:r>
      <w:r w:rsidRPr="00143C70">
        <w:t>International</w:t>
      </w:r>
      <w:r>
        <w:t xml:space="preserve"> BV</w:t>
      </w:r>
      <w:r w:rsidRPr="00143C70">
        <w:t>,</w:t>
      </w:r>
      <w:r>
        <w:t xml:space="preserve"> The  Netherlands,  </w:t>
      </w:r>
      <w:r w:rsidRPr="00143C70">
        <w:t>2015, pp</w:t>
      </w:r>
      <w:r>
        <w:t>.</w:t>
      </w:r>
      <w:r w:rsidRPr="00143C70">
        <w:t xml:space="preserve"> 276.</w:t>
      </w:r>
      <w:r w:rsidR="00795148">
        <w:t xml:space="preserve"> ISBN 978-90-411-5673-0.</w:t>
      </w:r>
    </w:p>
    <w:p w:rsidR="00EB4F0D" w:rsidRDefault="00EB4F0D" w:rsidP="000212A1">
      <w:pPr>
        <w:jc w:val="both"/>
      </w:pPr>
    </w:p>
    <w:p w:rsidR="00EB4F0D" w:rsidRDefault="009E4279" w:rsidP="000212A1">
      <w:pPr>
        <w:jc w:val="both"/>
      </w:pPr>
      <w:r>
        <w:t>7</w:t>
      </w:r>
      <w:r w:rsidR="00EB4F0D">
        <w:t xml:space="preserve">) </w:t>
      </w:r>
      <w:r w:rsidRPr="001B4E61">
        <w:t xml:space="preserve">Kříž, J. a kol.: </w:t>
      </w:r>
      <w:r w:rsidRPr="001B4E61">
        <w:rPr>
          <w:i/>
        </w:rPr>
        <w:t xml:space="preserve">Aktuální otázky práva autorského a práv průmyslových 2015. Reflexe komunitární regulace a vybrané aplikační problémy. </w:t>
      </w:r>
      <w:r w:rsidRPr="001B4E61">
        <w:t>Praha: Univerzita Karlova v Praze, Právnická fakulta, 2015</w:t>
      </w:r>
      <w:r w:rsidR="00795148">
        <w:t>. ISBN 978-80-87975-41-1.</w:t>
      </w:r>
      <w:r w:rsidRPr="001B4E61">
        <w:rPr>
          <w:color w:val="000000"/>
        </w:rPr>
        <w:t xml:space="preserve"> </w:t>
      </w:r>
      <w:r>
        <w:rPr>
          <w:color w:val="000000"/>
        </w:rPr>
        <w:t>(p</w:t>
      </w:r>
      <w:r w:rsidRPr="001B4E61">
        <w:rPr>
          <w:color w:val="000000"/>
        </w:rPr>
        <w:t>ozn.: odevzdáno nakladateli, t.č. v korekturách a před tiskem</w:t>
      </w:r>
      <w:r>
        <w:rPr>
          <w:color w:val="000000"/>
        </w:rPr>
        <w:t>).</w:t>
      </w:r>
    </w:p>
    <w:p w:rsidR="00EB4F0D" w:rsidRDefault="00EB4F0D" w:rsidP="000212A1">
      <w:pPr>
        <w:jc w:val="both"/>
      </w:pPr>
    </w:p>
    <w:p w:rsidR="00EB4F0D" w:rsidRDefault="009E4279" w:rsidP="000212A1">
      <w:pPr>
        <w:jc w:val="both"/>
      </w:pPr>
      <w:r>
        <w:t>8</w:t>
      </w:r>
      <w:r w:rsidR="00EB4F0D">
        <w:t xml:space="preserve">) </w:t>
      </w:r>
      <w:r>
        <w:t>Skřejpek M.: Digesta seu Pandectae, tomus I, liber I – XV, fragmenta selecta/Digesta neboli Pandekty, svazek I, kniha I – XV, vybrané části. (spolu s P. Blahem, J. Vaňkovou, J. Žytkem) Praha, Karolinum, 2015, 701 s.</w:t>
      </w:r>
      <w:r w:rsidR="00795148">
        <w:t xml:space="preserve"> ISBN 978-80-246-3063-2.</w:t>
      </w:r>
    </w:p>
    <w:p w:rsidR="00EB4F0D" w:rsidRDefault="00EB4F0D" w:rsidP="000212A1">
      <w:pPr>
        <w:jc w:val="both"/>
      </w:pPr>
    </w:p>
    <w:p w:rsidR="00EB4F0D" w:rsidRDefault="009E4279" w:rsidP="000212A1">
      <w:pPr>
        <w:jc w:val="both"/>
      </w:pPr>
      <w:r>
        <w:t>9</w:t>
      </w:r>
      <w:r w:rsidR="00EB4F0D">
        <w:t xml:space="preserve">) </w:t>
      </w:r>
      <w:r w:rsidRPr="009E4279">
        <w:t>Tichý, L.</w:t>
      </w:r>
      <w:r>
        <w:t>:</w:t>
      </w:r>
      <w:r w:rsidRPr="009E4279">
        <w:t xml:space="preserve"> </w:t>
      </w:r>
      <w:r w:rsidRPr="008829C5">
        <w:rPr>
          <w:i/>
        </w:rPr>
        <w:t>Der Verbraucherkaufvertrag und seine E</w:t>
      </w:r>
      <w:r w:rsidRPr="008829C5">
        <w:rPr>
          <w:i/>
          <w:lang w:val="de-DE"/>
        </w:rPr>
        <w:t>ntwicklung im europäischen und tschechischen Recht</w:t>
      </w:r>
      <w:r w:rsidR="008829C5">
        <w:rPr>
          <w:lang w:val="de-DE"/>
        </w:rPr>
        <w:t>.</w:t>
      </w:r>
      <w:r w:rsidRPr="00980974">
        <w:rPr>
          <w:lang w:val="de-DE"/>
        </w:rPr>
        <w:t xml:space="preserve"> </w:t>
      </w:r>
      <w:r w:rsidR="008829C5">
        <w:rPr>
          <w:lang w:val="de-DE"/>
        </w:rPr>
        <w:t>I</w:t>
      </w:r>
      <w:r w:rsidRPr="00980974">
        <w:rPr>
          <w:lang w:val="de-DE"/>
        </w:rPr>
        <w:t>n Martin Schmidt-Kessel, Stefan Leible, Luboš Tichý (eds.), Perspektiven des Verbrauchsgüterkaufs, M</w:t>
      </w:r>
      <w:r>
        <w:rPr>
          <w:lang w:val="de-DE"/>
        </w:rPr>
        <w:t>ohr Siebeck Tübingen 2015, s. 1-20</w:t>
      </w:r>
      <w:r w:rsidR="00795148">
        <w:rPr>
          <w:lang w:val="de-DE"/>
        </w:rPr>
        <w:t>. ISBN 978-3-16-153726-4.</w:t>
      </w:r>
    </w:p>
    <w:p w:rsidR="00EB4F0D" w:rsidRDefault="00EB4F0D" w:rsidP="000212A1">
      <w:pPr>
        <w:jc w:val="both"/>
      </w:pPr>
    </w:p>
    <w:p w:rsidR="00EB4F0D" w:rsidRDefault="009E4279" w:rsidP="000212A1">
      <w:pPr>
        <w:jc w:val="both"/>
      </w:pPr>
      <w:r w:rsidRPr="000A5397">
        <w:t>10</w:t>
      </w:r>
      <w:r w:rsidR="00EB4F0D" w:rsidRPr="000A5397">
        <w:t xml:space="preserve">) </w:t>
      </w:r>
      <w:r w:rsidR="000A5397" w:rsidRPr="008829C5">
        <w:rPr>
          <w:caps/>
        </w:rPr>
        <w:t>T</w:t>
      </w:r>
      <w:r w:rsidR="008829C5" w:rsidRPr="008829C5">
        <w:t>ic</w:t>
      </w:r>
      <w:r w:rsidR="008829C5">
        <w:t>hý</w:t>
      </w:r>
      <w:r w:rsidR="000A5397" w:rsidRPr="008829C5">
        <w:rPr>
          <w:caps/>
        </w:rPr>
        <w:t>,</w:t>
      </w:r>
      <w:r w:rsidR="000A5397" w:rsidRPr="008829C5">
        <w:t xml:space="preserve"> </w:t>
      </w:r>
      <w:r w:rsidR="000A5397" w:rsidRPr="008829C5">
        <w:rPr>
          <w:bCs/>
        </w:rPr>
        <w:t>L.:</w:t>
      </w:r>
      <w:r w:rsidR="000A5397" w:rsidRPr="008829C5">
        <w:t xml:space="preserve"> </w:t>
      </w:r>
      <w:r w:rsidR="000A5397" w:rsidRPr="008829C5">
        <w:rPr>
          <w:i/>
        </w:rPr>
        <w:t>Die Anerkennung des Trusts als ein spezifisches Problem des IPR</w:t>
      </w:r>
      <w:r w:rsidR="008829C5">
        <w:t>. In</w:t>
      </w:r>
      <w:r w:rsidR="000A5397" w:rsidRPr="008829C5">
        <w:t xml:space="preserve"> Hilbig-Lugani et al. (eds.), Festschrift für Dagmar Coester-Waltjen, Bielefeld, 2015, s. 865-882.</w:t>
      </w:r>
      <w:r w:rsidR="00795148">
        <w:t xml:space="preserve"> ISBN 978-3-7694-1147-8.</w:t>
      </w:r>
    </w:p>
    <w:p w:rsidR="00EB4F0D" w:rsidRDefault="00EB4F0D" w:rsidP="000212A1">
      <w:pPr>
        <w:jc w:val="both"/>
      </w:pPr>
    </w:p>
    <w:p w:rsidR="00EB4F0D" w:rsidRDefault="00EB4F0D" w:rsidP="000212A1">
      <w:pPr>
        <w:jc w:val="both"/>
      </w:pPr>
    </w:p>
    <w:p w:rsidR="005D0732" w:rsidRPr="00C64A84" w:rsidRDefault="00D50967" w:rsidP="006603C4">
      <w:pPr>
        <w:keepNext/>
        <w:jc w:val="both"/>
      </w:pPr>
      <w:r>
        <w:rPr>
          <w:b/>
        </w:rPr>
        <w:lastRenderedPageBreak/>
        <w:t>Počty</w:t>
      </w:r>
      <w:r w:rsidR="006F0CBC">
        <w:rPr>
          <w:b/>
        </w:rPr>
        <w:t xml:space="preserve"> výsledků dosažených v r. 2015</w:t>
      </w:r>
      <w:r w:rsidR="00C64A84">
        <w:t xml:space="preserve"> (publikovaných nebo přijatých k publikaci)</w:t>
      </w:r>
    </w:p>
    <w:p w:rsidR="006F0CBC" w:rsidRPr="006603C4" w:rsidRDefault="00C64A84" w:rsidP="006603C4">
      <w:pPr>
        <w:keepNext/>
        <w:jc w:val="both"/>
        <w:rPr>
          <w:i/>
          <w:sz w:val="22"/>
          <w:szCs w:val="22"/>
        </w:rPr>
      </w:pPr>
      <w:r w:rsidRPr="006603C4">
        <w:rPr>
          <w:i/>
          <w:sz w:val="22"/>
          <w:szCs w:val="22"/>
        </w:rPr>
        <w:t xml:space="preserve">V každém řádku </w:t>
      </w:r>
      <w:r w:rsidR="00D50967" w:rsidRPr="006603C4">
        <w:rPr>
          <w:i/>
          <w:sz w:val="22"/>
          <w:szCs w:val="22"/>
        </w:rPr>
        <w:t xml:space="preserve">tabulky </w:t>
      </w:r>
      <w:r w:rsidRPr="006603C4">
        <w:rPr>
          <w:i/>
          <w:sz w:val="22"/>
          <w:szCs w:val="22"/>
        </w:rPr>
        <w:t xml:space="preserve">uveďte počty </w:t>
      </w:r>
      <w:r w:rsidR="00AF10B5">
        <w:rPr>
          <w:i/>
          <w:sz w:val="22"/>
          <w:szCs w:val="22"/>
        </w:rPr>
        <w:t>českých</w:t>
      </w:r>
      <w:r w:rsidRPr="006603C4">
        <w:rPr>
          <w:i/>
          <w:sz w:val="22"/>
          <w:szCs w:val="22"/>
        </w:rPr>
        <w:t xml:space="preserve"> a </w:t>
      </w:r>
      <w:r w:rsidR="00AF10B5">
        <w:rPr>
          <w:i/>
          <w:sz w:val="22"/>
          <w:szCs w:val="22"/>
        </w:rPr>
        <w:t>mezinárodních</w:t>
      </w:r>
      <w:r w:rsidRPr="006603C4">
        <w:rPr>
          <w:i/>
          <w:sz w:val="22"/>
          <w:szCs w:val="22"/>
        </w:rPr>
        <w:t xml:space="preserve"> publikací daného typu.</w:t>
      </w:r>
    </w:p>
    <w:p w:rsidR="004A12F7" w:rsidRPr="004A12F7" w:rsidRDefault="004A12F7" w:rsidP="006603C4">
      <w:pPr>
        <w:keepNext/>
        <w:jc w:val="both"/>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211"/>
        <w:gridCol w:w="1985"/>
        <w:gridCol w:w="1984"/>
      </w:tblGrid>
      <w:tr w:rsidR="000212A1" w:rsidTr="004A12F7">
        <w:trPr>
          <w:cantSplit/>
        </w:trPr>
        <w:tc>
          <w:tcPr>
            <w:tcW w:w="5211" w:type="dxa"/>
            <w:tcBorders>
              <w:top w:val="double" w:sz="4" w:space="0" w:color="auto"/>
              <w:bottom w:val="double" w:sz="4" w:space="0" w:color="auto"/>
            </w:tcBorders>
            <w:shd w:val="clear" w:color="auto" w:fill="E0E0E0"/>
            <w:vAlign w:val="center"/>
          </w:tcPr>
          <w:p w:rsidR="000212A1" w:rsidRPr="00C9327F" w:rsidRDefault="006F0CBC" w:rsidP="002D1438">
            <w:pPr>
              <w:keepNext/>
              <w:jc w:val="both"/>
              <w:rPr>
                <w:b/>
              </w:rPr>
            </w:pPr>
            <w:r>
              <w:rPr>
                <w:b/>
              </w:rPr>
              <w:t>Druh výsledku</w:t>
            </w:r>
          </w:p>
        </w:tc>
        <w:tc>
          <w:tcPr>
            <w:tcW w:w="1985" w:type="dxa"/>
            <w:tcBorders>
              <w:top w:val="double" w:sz="4" w:space="0" w:color="auto"/>
              <w:bottom w:val="double" w:sz="4" w:space="0" w:color="auto"/>
            </w:tcBorders>
            <w:shd w:val="clear" w:color="auto" w:fill="D9D9D9" w:themeFill="background1" w:themeFillShade="D9"/>
          </w:tcPr>
          <w:p w:rsidR="000212A1" w:rsidRPr="00125DAE" w:rsidRDefault="00AF10B5" w:rsidP="002D1438">
            <w:pPr>
              <w:jc w:val="center"/>
              <w:rPr>
                <w:b/>
              </w:rPr>
            </w:pPr>
            <w:r>
              <w:rPr>
                <w:b/>
              </w:rPr>
              <w:t>české</w:t>
            </w:r>
          </w:p>
        </w:tc>
        <w:tc>
          <w:tcPr>
            <w:tcW w:w="1984" w:type="dxa"/>
            <w:tcBorders>
              <w:top w:val="double" w:sz="4" w:space="0" w:color="auto"/>
              <w:bottom w:val="double" w:sz="4" w:space="0" w:color="auto"/>
            </w:tcBorders>
            <w:shd w:val="clear" w:color="auto" w:fill="D9D9D9" w:themeFill="background1" w:themeFillShade="D9"/>
            <w:vAlign w:val="center"/>
          </w:tcPr>
          <w:p w:rsidR="000212A1" w:rsidRPr="00125DAE" w:rsidRDefault="00AF10B5" w:rsidP="002D1438">
            <w:pPr>
              <w:jc w:val="center"/>
              <w:rPr>
                <w:b/>
              </w:rPr>
            </w:pPr>
            <w:r>
              <w:rPr>
                <w:b/>
              </w:rPr>
              <w:t>mezinárodní</w:t>
            </w:r>
          </w:p>
        </w:tc>
      </w:tr>
      <w:tr w:rsidR="000212A1" w:rsidTr="004A12F7">
        <w:trPr>
          <w:cantSplit/>
        </w:trPr>
        <w:tc>
          <w:tcPr>
            <w:tcW w:w="5211" w:type="dxa"/>
            <w:tcBorders>
              <w:top w:val="double" w:sz="4" w:space="0" w:color="auto"/>
            </w:tcBorders>
            <w:shd w:val="clear" w:color="auto" w:fill="auto"/>
            <w:vAlign w:val="center"/>
          </w:tcPr>
          <w:p w:rsidR="000212A1" w:rsidRPr="00125DAE" w:rsidRDefault="000212A1" w:rsidP="002D1438">
            <w:pPr>
              <w:keepNext/>
            </w:pPr>
            <w:r w:rsidRPr="00125DAE">
              <w:t>Monografie</w:t>
            </w:r>
          </w:p>
        </w:tc>
        <w:tc>
          <w:tcPr>
            <w:tcW w:w="1985" w:type="dxa"/>
            <w:tcBorders>
              <w:top w:val="double" w:sz="4" w:space="0" w:color="auto"/>
            </w:tcBorders>
          </w:tcPr>
          <w:p w:rsidR="000212A1" w:rsidRDefault="000212A1" w:rsidP="002D1438">
            <w:pPr>
              <w:jc w:val="center"/>
            </w:pPr>
          </w:p>
        </w:tc>
        <w:tc>
          <w:tcPr>
            <w:tcW w:w="1984" w:type="dxa"/>
            <w:tcBorders>
              <w:top w:val="double" w:sz="4" w:space="0" w:color="auto"/>
            </w:tcBorders>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pStyle w:val="Odstavecseseznamem"/>
              <w:keepNext/>
              <w:ind w:left="0"/>
              <w:jc w:val="both"/>
            </w:pPr>
            <w:r w:rsidRPr="00125DAE">
              <w:t>Kapitola v kolektivní monografii</w:t>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keepNext/>
              <w:jc w:val="both"/>
            </w:pPr>
            <w:r w:rsidRPr="00125DAE">
              <w:t>Článek v recenzovaném periodiku</w:t>
            </w:r>
            <w:r w:rsidRPr="00125DAE">
              <w:rPr>
                <w:rStyle w:val="Znakapoznpodarou"/>
              </w:rPr>
              <w:footnoteReference w:id="3"/>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keepNext/>
              <w:jc w:val="both"/>
            </w:pPr>
            <w:r w:rsidRPr="00125DAE">
              <w:t>Příspěvek v recenzovaném konferenčním sborníku</w:t>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pStyle w:val="Odstavecseseznamem"/>
              <w:keepNext/>
              <w:ind w:left="0"/>
              <w:jc w:val="both"/>
            </w:pPr>
            <w:r w:rsidRPr="00125DAE">
              <w:t>Kritický komentovaný překlad</w:t>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pStyle w:val="Odstavecseseznamem"/>
              <w:keepNext/>
              <w:ind w:left="0"/>
              <w:jc w:val="both"/>
            </w:pPr>
            <w:r w:rsidRPr="00125DAE">
              <w:t>Vědecký slovník</w:t>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pStyle w:val="Odstavecseseznamem"/>
              <w:keepNext/>
              <w:ind w:left="0"/>
              <w:jc w:val="both"/>
            </w:pPr>
            <w:r w:rsidRPr="00125DAE">
              <w:t xml:space="preserve">Jiný výsledek </w:t>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pStyle w:val="Odstavecseseznamem"/>
              <w:keepNext/>
              <w:ind w:left="0"/>
              <w:jc w:val="both"/>
            </w:pPr>
            <w:r w:rsidRPr="00125DAE">
              <w:t>Celkový počet výsledků</w:t>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bl>
    <w:p w:rsidR="000212A1" w:rsidRPr="009049D2" w:rsidRDefault="000212A1" w:rsidP="000212A1">
      <w:pPr>
        <w:keepNext/>
        <w:jc w:val="both"/>
        <w:rPr>
          <w:sz w:val="22"/>
          <w:szCs w:val="22"/>
        </w:rPr>
      </w:pPr>
    </w:p>
    <w:p w:rsidR="000212A1" w:rsidRPr="009049D2" w:rsidRDefault="000212A1" w:rsidP="000212A1">
      <w:pPr>
        <w:keepNext/>
        <w:jc w:val="both"/>
        <w:rPr>
          <w:sz w:val="22"/>
          <w:szCs w:val="22"/>
        </w:rPr>
      </w:pPr>
    </w:p>
    <w:p w:rsidR="000212A1" w:rsidRPr="00B137FA" w:rsidRDefault="006603C4" w:rsidP="000212A1">
      <w:pPr>
        <w:keepNext/>
        <w:jc w:val="both"/>
        <w:rPr>
          <w:b/>
        </w:rPr>
      </w:pPr>
      <w:r>
        <w:rPr>
          <w:b/>
        </w:rPr>
        <w:t>A4</w:t>
      </w:r>
      <w:r w:rsidR="000212A1" w:rsidRPr="00B137FA">
        <w:rPr>
          <w:b/>
        </w:rPr>
        <w:t>.</w:t>
      </w:r>
    </w:p>
    <w:p w:rsidR="000212A1" w:rsidRPr="004917BC" w:rsidRDefault="000212A1" w:rsidP="000212A1">
      <w:pPr>
        <w:keepNext/>
        <w:jc w:val="both"/>
        <w:rPr>
          <w:b/>
        </w:rPr>
      </w:pPr>
      <w:r w:rsidRPr="000507F6">
        <w:rPr>
          <w:b/>
        </w:rPr>
        <w:t xml:space="preserve">Údaje </w:t>
      </w:r>
      <w:r w:rsidRPr="004917BC">
        <w:rPr>
          <w:b/>
        </w:rPr>
        <w:t>o počtu osob zúčastněných na programu platné ke dni 31. 12. 201</w:t>
      </w:r>
      <w:r w:rsidR="006F0CBC">
        <w:rPr>
          <w:b/>
        </w:rPr>
        <w:t>5</w:t>
      </w:r>
    </w:p>
    <w:p w:rsidR="000212A1" w:rsidRPr="004B261A" w:rsidRDefault="000212A1" w:rsidP="00D05817">
      <w:pPr>
        <w:keepNex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344"/>
      </w:tblGrid>
      <w:tr w:rsidR="000212A1" w:rsidTr="002D1438">
        <w:trPr>
          <w:cantSplit/>
        </w:trPr>
        <w:tc>
          <w:tcPr>
            <w:tcW w:w="5868" w:type="dxa"/>
            <w:tcBorders>
              <w:top w:val="double" w:sz="4" w:space="0" w:color="auto"/>
              <w:left w:val="double" w:sz="4" w:space="0" w:color="auto"/>
              <w:bottom w:val="single" w:sz="4" w:space="0" w:color="auto"/>
              <w:right w:val="double" w:sz="4" w:space="0" w:color="auto"/>
            </w:tcBorders>
            <w:shd w:val="clear" w:color="auto" w:fill="E0E0E0"/>
            <w:vAlign w:val="center"/>
          </w:tcPr>
          <w:p w:rsidR="000212A1" w:rsidRPr="00A22C90" w:rsidRDefault="000212A1" w:rsidP="002D1438">
            <w:pPr>
              <w:keepNext/>
            </w:pPr>
            <w:r w:rsidRPr="00A22C90">
              <w:t>Celkový počet akademických a vědeckých pracovníků</w:t>
            </w:r>
          </w:p>
        </w:tc>
        <w:tc>
          <w:tcPr>
            <w:tcW w:w="3344" w:type="dxa"/>
            <w:tcBorders>
              <w:top w:val="double" w:sz="4" w:space="0" w:color="auto"/>
              <w:left w:val="double" w:sz="4" w:space="0" w:color="auto"/>
              <w:right w:val="double" w:sz="4" w:space="0" w:color="auto"/>
            </w:tcBorders>
            <w:shd w:val="clear" w:color="auto" w:fill="auto"/>
            <w:vAlign w:val="center"/>
          </w:tcPr>
          <w:p w:rsidR="000212A1" w:rsidRDefault="00B8753C" w:rsidP="002D1438">
            <w:pPr>
              <w:keepNext/>
              <w:jc w:val="center"/>
            </w:pPr>
            <w:r>
              <w:t>55</w:t>
            </w:r>
          </w:p>
        </w:tc>
      </w:tr>
      <w:tr w:rsidR="000212A1" w:rsidTr="002D1438">
        <w:trPr>
          <w:cantSplit/>
        </w:trPr>
        <w:tc>
          <w:tcPr>
            <w:tcW w:w="5868" w:type="dxa"/>
            <w:tcBorders>
              <w:top w:val="single" w:sz="4" w:space="0" w:color="auto"/>
              <w:left w:val="double" w:sz="4" w:space="0" w:color="auto"/>
              <w:bottom w:val="double" w:sz="4" w:space="0" w:color="auto"/>
              <w:right w:val="double" w:sz="4" w:space="0" w:color="auto"/>
            </w:tcBorders>
            <w:shd w:val="clear" w:color="auto" w:fill="E0E0E0"/>
            <w:vAlign w:val="center"/>
          </w:tcPr>
          <w:p w:rsidR="000212A1" w:rsidRPr="00A22C90" w:rsidRDefault="000212A1" w:rsidP="002D1438">
            <w:r w:rsidRPr="00A22C90">
              <w:t xml:space="preserve">Celkový počet studentů </w:t>
            </w:r>
            <w:r w:rsidRPr="003C6363">
              <w:t>doktorských studijních programů</w:t>
            </w:r>
          </w:p>
        </w:tc>
        <w:tc>
          <w:tcPr>
            <w:tcW w:w="3344" w:type="dxa"/>
            <w:tcBorders>
              <w:left w:val="double" w:sz="4" w:space="0" w:color="auto"/>
              <w:bottom w:val="double" w:sz="4" w:space="0" w:color="auto"/>
              <w:right w:val="double" w:sz="4" w:space="0" w:color="auto"/>
            </w:tcBorders>
            <w:shd w:val="clear" w:color="auto" w:fill="auto"/>
            <w:vAlign w:val="center"/>
          </w:tcPr>
          <w:p w:rsidR="000212A1" w:rsidRDefault="00B8753C" w:rsidP="002D1438">
            <w:pPr>
              <w:jc w:val="center"/>
            </w:pPr>
            <w:r>
              <w:t>20</w:t>
            </w:r>
          </w:p>
        </w:tc>
      </w:tr>
    </w:tbl>
    <w:p w:rsidR="00D05817" w:rsidRPr="00D05817" w:rsidRDefault="00D05817" w:rsidP="000212A1">
      <w:pPr>
        <w:keepNext/>
        <w:jc w:val="both"/>
      </w:pPr>
    </w:p>
    <w:p w:rsidR="00D05817" w:rsidRPr="00D05817" w:rsidRDefault="00D05817" w:rsidP="000212A1">
      <w:pPr>
        <w:keepNext/>
        <w:jc w:val="both"/>
      </w:pPr>
    </w:p>
    <w:p w:rsidR="000212A1" w:rsidRPr="000F1E39" w:rsidRDefault="006603C4" w:rsidP="000212A1">
      <w:pPr>
        <w:keepNext/>
        <w:jc w:val="both"/>
        <w:rPr>
          <w:b/>
        </w:rPr>
      </w:pPr>
      <w:r>
        <w:rPr>
          <w:b/>
        </w:rPr>
        <w:t>A5</w:t>
      </w:r>
      <w:r w:rsidR="000212A1" w:rsidRPr="000F1E39">
        <w:rPr>
          <w:b/>
        </w:rPr>
        <w:t>.</w:t>
      </w:r>
    </w:p>
    <w:p w:rsidR="000212A1" w:rsidRDefault="000212A1" w:rsidP="000212A1">
      <w:pPr>
        <w:keepNext/>
        <w:jc w:val="both"/>
        <w:rPr>
          <w:b/>
          <w:bCs/>
        </w:rPr>
      </w:pPr>
      <w:r>
        <w:rPr>
          <w:b/>
          <w:bCs/>
        </w:rPr>
        <w:t>Rámcový přehled vynaložených</w:t>
      </w:r>
      <w:r w:rsidRPr="000F1E39">
        <w:rPr>
          <w:b/>
          <w:bCs/>
        </w:rPr>
        <w:t xml:space="preserve"> finančních prostředků</w:t>
      </w:r>
      <w:r w:rsidRPr="00F0566D">
        <w:rPr>
          <w:rStyle w:val="Znakapoznpodarou"/>
          <w:bCs/>
        </w:rPr>
        <w:footnoteReference w:id="4"/>
      </w:r>
    </w:p>
    <w:p w:rsidR="000212A1" w:rsidRPr="006603C4" w:rsidRDefault="0023726F" w:rsidP="000212A1">
      <w:pPr>
        <w:keepNext/>
        <w:jc w:val="both"/>
        <w:rPr>
          <w:i/>
          <w:sz w:val="22"/>
          <w:szCs w:val="22"/>
        </w:rPr>
      </w:pPr>
      <w:r>
        <w:rPr>
          <w:i/>
          <w:sz w:val="22"/>
          <w:szCs w:val="22"/>
        </w:rPr>
        <w:t xml:space="preserve">Částky zaokrouhlete na tis. Kč. </w:t>
      </w:r>
      <w:r w:rsidR="000212A1" w:rsidRPr="006603C4">
        <w:rPr>
          <w:i/>
          <w:sz w:val="22"/>
          <w:szCs w:val="22"/>
        </w:rPr>
        <w:t xml:space="preserve">Pod </w:t>
      </w:r>
      <w:r w:rsidR="00D05817" w:rsidRPr="00D05817">
        <w:rPr>
          <w:i/>
          <w:sz w:val="22"/>
          <w:szCs w:val="22"/>
        </w:rPr>
        <w:t>tabulku</w:t>
      </w:r>
      <w:r w:rsidR="000212A1" w:rsidRPr="006603C4">
        <w:rPr>
          <w:i/>
          <w:sz w:val="22"/>
          <w:szCs w:val="22"/>
        </w:rPr>
        <w:t xml:space="preserve"> můžete uvést komentář k výdajům.</w:t>
      </w:r>
      <w:r w:rsidR="006B4154">
        <w:rPr>
          <w:i/>
          <w:sz w:val="22"/>
          <w:szCs w:val="22"/>
        </w:rPr>
        <w:t xml:space="preserve"> </w:t>
      </w:r>
      <w:r w:rsidR="006B4154" w:rsidRPr="00FF290C">
        <w:rPr>
          <w:i/>
          <w:sz w:val="22"/>
          <w:szCs w:val="22"/>
        </w:rPr>
        <w:t xml:space="preserve">Pokud byla v roce 2014 část finančních prostředků převedena do FÚUP k dalšímu využití </w:t>
      </w:r>
      <w:r w:rsidR="00207B8D">
        <w:rPr>
          <w:i/>
          <w:sz w:val="22"/>
          <w:szCs w:val="22"/>
        </w:rPr>
        <w:t>v roce 2015, uveďte pod tabulku</w:t>
      </w:r>
      <w:r w:rsidR="006B4154" w:rsidRPr="00FF290C">
        <w:rPr>
          <w:i/>
          <w:sz w:val="22"/>
          <w:szCs w:val="22"/>
        </w:rPr>
        <w:t xml:space="preserve"> </w:t>
      </w:r>
      <w:r w:rsidR="002971F1" w:rsidRPr="00FF290C">
        <w:rPr>
          <w:i/>
          <w:sz w:val="22"/>
          <w:szCs w:val="22"/>
        </w:rPr>
        <w:t xml:space="preserve">využití </w:t>
      </w:r>
      <w:r w:rsidR="00F0566D" w:rsidRPr="00FF290C">
        <w:rPr>
          <w:i/>
          <w:sz w:val="22"/>
          <w:szCs w:val="22"/>
        </w:rPr>
        <w:t xml:space="preserve">těchto prostředků </w:t>
      </w:r>
      <w:r w:rsidR="002971F1" w:rsidRPr="00FF290C">
        <w:rPr>
          <w:i/>
          <w:sz w:val="22"/>
          <w:szCs w:val="22"/>
        </w:rPr>
        <w:t>na jednotlivé typy nákladů.</w:t>
      </w:r>
    </w:p>
    <w:p w:rsidR="000212A1" w:rsidRDefault="000212A1" w:rsidP="000212A1">
      <w:pPr>
        <w:keepNext/>
        <w:suppressAutoHyphens/>
        <w:jc w:val="both"/>
        <w:rPr>
          <w:b/>
          <w:bCs/>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00"/>
        <w:gridCol w:w="2264"/>
      </w:tblGrid>
      <w:tr w:rsidR="000212A1" w:rsidRPr="0076361C" w:rsidTr="002D1438">
        <w:trPr>
          <w:cantSplit/>
          <w:tblHeader/>
        </w:trPr>
        <w:tc>
          <w:tcPr>
            <w:tcW w:w="4500" w:type="dxa"/>
            <w:tcBorders>
              <w:top w:val="double" w:sz="4" w:space="0" w:color="auto"/>
              <w:bottom w:val="double" w:sz="4" w:space="0" w:color="auto"/>
            </w:tcBorders>
            <w:shd w:val="clear" w:color="auto" w:fill="E0E0E0"/>
            <w:vAlign w:val="center"/>
          </w:tcPr>
          <w:p w:rsidR="000212A1" w:rsidRPr="0076361C" w:rsidRDefault="000212A1" w:rsidP="002D1438">
            <w:pPr>
              <w:keepNext/>
              <w:jc w:val="center"/>
              <w:rPr>
                <w:b/>
                <w:bCs/>
              </w:rPr>
            </w:pPr>
            <w:r w:rsidRPr="0076361C">
              <w:rPr>
                <w:b/>
                <w:bCs/>
              </w:rPr>
              <w:t>Typ nákladů</w:t>
            </w:r>
          </w:p>
        </w:tc>
        <w:tc>
          <w:tcPr>
            <w:tcW w:w="2264" w:type="dxa"/>
            <w:tcBorders>
              <w:top w:val="double" w:sz="4" w:space="0" w:color="auto"/>
              <w:bottom w:val="double" w:sz="4" w:space="0" w:color="auto"/>
            </w:tcBorders>
            <w:shd w:val="clear" w:color="auto" w:fill="E0E0E0"/>
            <w:vAlign w:val="center"/>
          </w:tcPr>
          <w:p w:rsidR="000212A1" w:rsidRPr="0076361C" w:rsidRDefault="000212A1" w:rsidP="002D1438">
            <w:pPr>
              <w:keepNext/>
              <w:jc w:val="center"/>
              <w:rPr>
                <w:b/>
                <w:bCs/>
              </w:rPr>
            </w:pPr>
            <w:r w:rsidRPr="0076361C">
              <w:rPr>
                <w:b/>
                <w:bCs/>
              </w:rPr>
              <w:t>Rok 201</w:t>
            </w:r>
            <w:r w:rsidR="002B0820">
              <w:rPr>
                <w:b/>
                <w:bCs/>
              </w:rPr>
              <w:t>5</w:t>
            </w:r>
            <w:r w:rsidRPr="0076361C">
              <w:rPr>
                <w:b/>
                <w:bCs/>
              </w:rPr>
              <w:t xml:space="preserve"> </w:t>
            </w:r>
          </w:p>
          <w:p w:rsidR="000212A1" w:rsidRPr="0076361C" w:rsidRDefault="000212A1" w:rsidP="002D1438">
            <w:pPr>
              <w:keepNext/>
              <w:jc w:val="center"/>
              <w:rPr>
                <w:b/>
                <w:bCs/>
              </w:rPr>
            </w:pPr>
            <w:r w:rsidRPr="0076361C">
              <w:rPr>
                <w:b/>
                <w:bCs/>
              </w:rPr>
              <w:t>(tis. Kč)</w:t>
            </w:r>
          </w:p>
        </w:tc>
      </w:tr>
      <w:tr w:rsidR="000212A1" w:rsidRPr="0076361C" w:rsidTr="002D1438">
        <w:trPr>
          <w:cantSplit/>
        </w:trPr>
        <w:tc>
          <w:tcPr>
            <w:tcW w:w="4500" w:type="dxa"/>
            <w:tcBorders>
              <w:top w:val="double" w:sz="4" w:space="0" w:color="auto"/>
            </w:tcBorders>
            <w:shd w:val="clear" w:color="auto" w:fill="auto"/>
          </w:tcPr>
          <w:p w:rsidR="000212A1" w:rsidRPr="0076361C" w:rsidRDefault="000212A1" w:rsidP="002D1438">
            <w:pPr>
              <w:keepNext/>
              <w:jc w:val="both"/>
              <w:rPr>
                <w:bCs/>
              </w:rPr>
            </w:pPr>
            <w:r w:rsidRPr="0076361C">
              <w:rPr>
                <w:bCs/>
              </w:rPr>
              <w:t xml:space="preserve">Osobní náklady </w:t>
            </w:r>
            <w:r w:rsidRPr="0076361C">
              <w:rPr>
                <w:bCs/>
                <w:sz w:val="20"/>
                <w:szCs w:val="20"/>
              </w:rPr>
              <w:t>(mzdové prostředky a odvody)</w:t>
            </w:r>
          </w:p>
        </w:tc>
        <w:tc>
          <w:tcPr>
            <w:tcW w:w="2264" w:type="dxa"/>
            <w:tcBorders>
              <w:top w:val="double" w:sz="4" w:space="0" w:color="auto"/>
            </w:tcBorders>
            <w:shd w:val="clear" w:color="auto" w:fill="auto"/>
          </w:tcPr>
          <w:p w:rsidR="000212A1" w:rsidRPr="0076361C" w:rsidRDefault="00B8753C" w:rsidP="002D1438">
            <w:pPr>
              <w:keepNext/>
              <w:jc w:val="right"/>
              <w:rPr>
                <w:bCs/>
              </w:rPr>
            </w:pPr>
            <w:r>
              <w:rPr>
                <w:bCs/>
              </w:rPr>
              <w:t>3 054</w:t>
            </w:r>
          </w:p>
        </w:tc>
      </w:tr>
      <w:tr w:rsidR="000212A1" w:rsidRPr="0076361C" w:rsidTr="002D1438">
        <w:trPr>
          <w:cantSplit/>
        </w:trPr>
        <w:tc>
          <w:tcPr>
            <w:tcW w:w="4500" w:type="dxa"/>
            <w:shd w:val="clear" w:color="auto" w:fill="auto"/>
          </w:tcPr>
          <w:p w:rsidR="000212A1" w:rsidRPr="0076361C" w:rsidRDefault="000212A1" w:rsidP="002D1438">
            <w:pPr>
              <w:keepNext/>
              <w:jc w:val="both"/>
              <w:rPr>
                <w:bCs/>
              </w:rPr>
            </w:pPr>
            <w:r w:rsidRPr="0076361C">
              <w:rPr>
                <w:bCs/>
              </w:rPr>
              <w:t>Stipendia</w:t>
            </w:r>
          </w:p>
        </w:tc>
        <w:tc>
          <w:tcPr>
            <w:tcW w:w="2264" w:type="dxa"/>
            <w:shd w:val="clear" w:color="auto" w:fill="auto"/>
          </w:tcPr>
          <w:p w:rsidR="000212A1" w:rsidRPr="0076361C" w:rsidRDefault="00B8753C" w:rsidP="002D1438">
            <w:pPr>
              <w:keepNext/>
              <w:jc w:val="right"/>
              <w:rPr>
                <w:bCs/>
              </w:rPr>
            </w:pPr>
            <w:r>
              <w:rPr>
                <w:bCs/>
              </w:rPr>
              <w:t>120</w:t>
            </w:r>
          </w:p>
        </w:tc>
      </w:tr>
      <w:tr w:rsidR="000212A1" w:rsidRPr="0076361C" w:rsidTr="002D1438">
        <w:trPr>
          <w:cantSplit/>
        </w:trPr>
        <w:tc>
          <w:tcPr>
            <w:tcW w:w="4500" w:type="dxa"/>
            <w:shd w:val="clear" w:color="auto" w:fill="auto"/>
          </w:tcPr>
          <w:p w:rsidR="000212A1" w:rsidRPr="0076361C" w:rsidRDefault="000212A1" w:rsidP="002D1438">
            <w:pPr>
              <w:keepNext/>
              <w:jc w:val="both"/>
              <w:rPr>
                <w:bCs/>
              </w:rPr>
            </w:pPr>
            <w:r w:rsidRPr="0076361C">
              <w:rPr>
                <w:bCs/>
              </w:rPr>
              <w:t>Provozní náklady a služby</w:t>
            </w:r>
          </w:p>
        </w:tc>
        <w:tc>
          <w:tcPr>
            <w:tcW w:w="2264" w:type="dxa"/>
            <w:shd w:val="clear" w:color="auto" w:fill="auto"/>
          </w:tcPr>
          <w:p w:rsidR="000212A1" w:rsidRPr="0076361C" w:rsidRDefault="00B8753C" w:rsidP="002D1438">
            <w:pPr>
              <w:keepNext/>
              <w:jc w:val="right"/>
              <w:rPr>
                <w:bCs/>
              </w:rPr>
            </w:pPr>
            <w:r>
              <w:rPr>
                <w:bCs/>
              </w:rPr>
              <w:t>1 119</w:t>
            </w:r>
          </w:p>
        </w:tc>
      </w:tr>
      <w:tr w:rsidR="000212A1" w:rsidRPr="0076361C" w:rsidTr="002D1438">
        <w:trPr>
          <w:cantSplit/>
        </w:trPr>
        <w:tc>
          <w:tcPr>
            <w:tcW w:w="4500" w:type="dxa"/>
            <w:shd w:val="clear" w:color="auto" w:fill="auto"/>
          </w:tcPr>
          <w:p w:rsidR="000212A1" w:rsidRPr="0076361C" w:rsidRDefault="000212A1" w:rsidP="002D1438">
            <w:pPr>
              <w:keepNext/>
              <w:jc w:val="both"/>
              <w:rPr>
                <w:bCs/>
              </w:rPr>
            </w:pPr>
            <w:r w:rsidRPr="0076361C">
              <w:rPr>
                <w:bCs/>
              </w:rPr>
              <w:t>Doplňkové a režijní náklady</w:t>
            </w:r>
          </w:p>
        </w:tc>
        <w:tc>
          <w:tcPr>
            <w:tcW w:w="2264" w:type="dxa"/>
            <w:shd w:val="clear" w:color="auto" w:fill="auto"/>
          </w:tcPr>
          <w:p w:rsidR="000212A1" w:rsidRPr="0076361C" w:rsidRDefault="00B8753C" w:rsidP="002D1438">
            <w:pPr>
              <w:keepNext/>
              <w:jc w:val="right"/>
              <w:rPr>
                <w:bCs/>
              </w:rPr>
            </w:pPr>
            <w:r>
              <w:rPr>
                <w:bCs/>
              </w:rPr>
              <w:t>1 532</w:t>
            </w:r>
          </w:p>
        </w:tc>
      </w:tr>
      <w:tr w:rsidR="000212A1" w:rsidRPr="0076361C" w:rsidTr="002D1438">
        <w:trPr>
          <w:cantSplit/>
        </w:trPr>
        <w:tc>
          <w:tcPr>
            <w:tcW w:w="4500" w:type="dxa"/>
            <w:shd w:val="clear" w:color="auto" w:fill="auto"/>
          </w:tcPr>
          <w:p w:rsidR="000212A1" w:rsidRPr="0076361C" w:rsidRDefault="000212A1" w:rsidP="002D1438">
            <w:pPr>
              <w:keepNext/>
              <w:jc w:val="both"/>
              <w:rPr>
                <w:bCs/>
              </w:rPr>
            </w:pPr>
            <w:r w:rsidRPr="0076361C">
              <w:rPr>
                <w:bCs/>
              </w:rPr>
              <w:t>Investice</w:t>
            </w:r>
          </w:p>
        </w:tc>
        <w:tc>
          <w:tcPr>
            <w:tcW w:w="2264" w:type="dxa"/>
            <w:shd w:val="clear" w:color="auto" w:fill="auto"/>
          </w:tcPr>
          <w:p w:rsidR="000212A1" w:rsidRPr="0076361C" w:rsidRDefault="00B8753C" w:rsidP="002D1438">
            <w:pPr>
              <w:keepNext/>
              <w:jc w:val="right"/>
              <w:rPr>
                <w:bCs/>
              </w:rPr>
            </w:pPr>
            <w:r>
              <w:rPr>
                <w:bCs/>
              </w:rPr>
              <w:t>0</w:t>
            </w:r>
          </w:p>
        </w:tc>
      </w:tr>
      <w:tr w:rsidR="000212A1" w:rsidRPr="0076361C" w:rsidTr="002D1438">
        <w:trPr>
          <w:cantSplit/>
        </w:trPr>
        <w:tc>
          <w:tcPr>
            <w:tcW w:w="4500" w:type="dxa"/>
            <w:shd w:val="clear" w:color="auto" w:fill="auto"/>
          </w:tcPr>
          <w:p w:rsidR="000212A1" w:rsidRPr="00225833" w:rsidRDefault="000212A1" w:rsidP="002D1438">
            <w:pPr>
              <w:keepNext/>
              <w:jc w:val="both"/>
              <w:rPr>
                <w:bCs/>
              </w:rPr>
            </w:pPr>
            <w:r w:rsidRPr="00225833">
              <w:rPr>
                <w:bCs/>
              </w:rPr>
              <w:t>FÚUP</w:t>
            </w:r>
          </w:p>
        </w:tc>
        <w:tc>
          <w:tcPr>
            <w:tcW w:w="2264" w:type="dxa"/>
            <w:shd w:val="clear" w:color="auto" w:fill="auto"/>
          </w:tcPr>
          <w:p w:rsidR="000212A1" w:rsidRPr="0076361C" w:rsidRDefault="00B8753C" w:rsidP="002D1438">
            <w:pPr>
              <w:keepNext/>
              <w:jc w:val="right"/>
              <w:rPr>
                <w:bCs/>
              </w:rPr>
            </w:pPr>
            <w:r>
              <w:rPr>
                <w:bCs/>
              </w:rPr>
              <w:t>304</w:t>
            </w:r>
          </w:p>
        </w:tc>
      </w:tr>
      <w:tr w:rsidR="000212A1" w:rsidRPr="0076361C" w:rsidTr="002D1438">
        <w:trPr>
          <w:cantSplit/>
        </w:trPr>
        <w:tc>
          <w:tcPr>
            <w:tcW w:w="4500" w:type="dxa"/>
            <w:shd w:val="clear" w:color="auto" w:fill="auto"/>
          </w:tcPr>
          <w:p w:rsidR="000212A1" w:rsidRPr="0076361C" w:rsidRDefault="000212A1" w:rsidP="002D1438">
            <w:pPr>
              <w:suppressAutoHyphens/>
              <w:jc w:val="both"/>
              <w:rPr>
                <w:bCs/>
              </w:rPr>
            </w:pPr>
            <w:r w:rsidRPr="0076361C">
              <w:rPr>
                <w:bCs/>
              </w:rPr>
              <w:t>Celkem</w:t>
            </w:r>
          </w:p>
        </w:tc>
        <w:tc>
          <w:tcPr>
            <w:tcW w:w="2264" w:type="dxa"/>
            <w:shd w:val="clear" w:color="auto" w:fill="auto"/>
          </w:tcPr>
          <w:p w:rsidR="000212A1" w:rsidRPr="0076361C" w:rsidRDefault="00B8753C" w:rsidP="002D1438">
            <w:pPr>
              <w:suppressAutoHyphens/>
              <w:jc w:val="right"/>
              <w:rPr>
                <w:bCs/>
              </w:rPr>
            </w:pPr>
            <w:r>
              <w:rPr>
                <w:bCs/>
              </w:rPr>
              <w:t>6 129</w:t>
            </w:r>
          </w:p>
        </w:tc>
      </w:tr>
    </w:tbl>
    <w:p w:rsidR="00ED67ED" w:rsidRDefault="00ED67ED" w:rsidP="00ED67ED">
      <w:pPr>
        <w:jc w:val="both"/>
      </w:pPr>
    </w:p>
    <w:p w:rsidR="00ED67ED" w:rsidRDefault="00ED67ED" w:rsidP="00ED67ED">
      <w:pPr>
        <w:jc w:val="both"/>
      </w:pPr>
      <w:r>
        <w:t>V rámci FÚUP byla k využití v roce 2015 převedena částka ve výši 110 956,- Kč. Prostředky byly dočerpány v rámci položky „Provozní náklady a služby“.</w:t>
      </w:r>
    </w:p>
    <w:p w:rsidR="000212A1" w:rsidRDefault="000212A1" w:rsidP="00D05817">
      <w:pPr>
        <w:jc w:val="both"/>
      </w:pPr>
    </w:p>
    <w:p w:rsidR="002B0820" w:rsidRPr="002B0820" w:rsidRDefault="002B0820" w:rsidP="00D05817">
      <w:pPr>
        <w:rPr>
          <w:bCs/>
        </w:rPr>
      </w:pPr>
    </w:p>
    <w:p w:rsidR="000212A1" w:rsidRPr="000F1E39" w:rsidRDefault="006603C4" w:rsidP="000212A1">
      <w:pPr>
        <w:keepNext/>
        <w:jc w:val="both"/>
        <w:rPr>
          <w:b/>
        </w:rPr>
      </w:pPr>
      <w:r>
        <w:rPr>
          <w:b/>
        </w:rPr>
        <w:lastRenderedPageBreak/>
        <w:t>A6</w:t>
      </w:r>
      <w:r w:rsidR="000212A1" w:rsidRPr="000F1E39">
        <w:rPr>
          <w:b/>
        </w:rPr>
        <w:t>.</w:t>
      </w:r>
    </w:p>
    <w:p w:rsidR="000212A1" w:rsidRDefault="000212A1" w:rsidP="000212A1">
      <w:pPr>
        <w:keepNext/>
        <w:jc w:val="both"/>
        <w:rPr>
          <w:bCs/>
        </w:rPr>
      </w:pPr>
      <w:r w:rsidRPr="000F1E39">
        <w:rPr>
          <w:b/>
        </w:rPr>
        <w:t>P</w:t>
      </w:r>
      <w:r w:rsidRPr="000F1E39">
        <w:rPr>
          <w:b/>
          <w:bCs/>
        </w:rPr>
        <w:t>řehled dlouhodobého hmotného nebo nehmotného majetku v hodnotě přesahující hodnotu stanovenou právním předpisem pro veřejnou zakázku malého rozsahu</w:t>
      </w:r>
      <w:r>
        <w:rPr>
          <w:rStyle w:val="Znakapoznpodarou"/>
          <w:b/>
          <w:bCs/>
        </w:rPr>
        <w:footnoteReference w:id="5"/>
      </w:r>
      <w:r w:rsidRPr="000F1E39">
        <w:rPr>
          <w:b/>
          <w:bCs/>
        </w:rPr>
        <w:t>, který byl pořízen z finančních prostředků na PRVOUK</w:t>
      </w:r>
    </w:p>
    <w:p w:rsidR="000212A1" w:rsidRPr="006603C4" w:rsidRDefault="00F0566D" w:rsidP="000212A1">
      <w:pPr>
        <w:jc w:val="both"/>
        <w:rPr>
          <w:bCs/>
          <w:i/>
          <w:sz w:val="22"/>
          <w:szCs w:val="22"/>
        </w:rPr>
      </w:pPr>
      <w:r>
        <w:rPr>
          <w:bCs/>
          <w:i/>
          <w:sz w:val="22"/>
          <w:szCs w:val="22"/>
        </w:rPr>
        <w:t>Uveďte vždy název přístroje a</w:t>
      </w:r>
      <w:r w:rsidR="000212A1" w:rsidRPr="006603C4">
        <w:rPr>
          <w:bCs/>
          <w:i/>
          <w:sz w:val="22"/>
          <w:szCs w:val="22"/>
        </w:rPr>
        <w:t xml:space="preserve"> cenu v Kč (bez DPH). </w:t>
      </w:r>
    </w:p>
    <w:p w:rsidR="000212A1" w:rsidRDefault="000212A1" w:rsidP="00097D74">
      <w:pPr>
        <w:jc w:val="both"/>
        <w:rPr>
          <w:b/>
        </w:rPr>
      </w:pPr>
    </w:p>
    <w:p w:rsidR="00B1417A" w:rsidRPr="006631AF" w:rsidRDefault="006631AF" w:rsidP="00097D74">
      <w:pPr>
        <w:pBdr>
          <w:bottom w:val="single" w:sz="6" w:space="1" w:color="auto"/>
        </w:pBdr>
        <w:jc w:val="both"/>
      </w:pPr>
      <w:r w:rsidRPr="006631AF">
        <w:t>Žádný takový majetek nebyl z prostředků P05 pořízen.</w:t>
      </w:r>
    </w:p>
    <w:p w:rsidR="0023726F" w:rsidRDefault="0023726F" w:rsidP="00097D74">
      <w:pPr>
        <w:pBdr>
          <w:bottom w:val="single" w:sz="6" w:space="1" w:color="auto"/>
        </w:pBdr>
        <w:jc w:val="both"/>
        <w:rPr>
          <w:b/>
        </w:rPr>
      </w:pPr>
    </w:p>
    <w:p w:rsidR="0023726F" w:rsidRDefault="0023726F" w:rsidP="00097D74">
      <w:pPr>
        <w:jc w:val="both"/>
        <w:rPr>
          <w:b/>
        </w:rPr>
      </w:pPr>
    </w:p>
    <w:p w:rsidR="0023726F" w:rsidRDefault="0023726F" w:rsidP="00097D74">
      <w:pPr>
        <w:jc w:val="both"/>
        <w:rPr>
          <w:b/>
        </w:rPr>
      </w:pPr>
    </w:p>
    <w:p w:rsidR="00FF290C" w:rsidRDefault="00132D73" w:rsidP="00323AB2">
      <w:pPr>
        <w:keepNext/>
        <w:jc w:val="center"/>
        <w:rPr>
          <w:b/>
          <w:smallCaps/>
          <w:sz w:val="36"/>
          <w:szCs w:val="36"/>
        </w:rPr>
      </w:pPr>
      <w:r w:rsidRPr="00132D73">
        <w:rPr>
          <w:b/>
          <w:smallCaps/>
          <w:sz w:val="36"/>
          <w:szCs w:val="36"/>
        </w:rPr>
        <w:t>ČÁST B</w:t>
      </w:r>
    </w:p>
    <w:p w:rsidR="00B1417A" w:rsidRPr="00132D73" w:rsidRDefault="00FF290C" w:rsidP="00323AB2">
      <w:pPr>
        <w:keepNext/>
        <w:jc w:val="center"/>
        <w:rPr>
          <w:b/>
          <w:smallCaps/>
          <w:sz w:val="36"/>
          <w:szCs w:val="36"/>
        </w:rPr>
      </w:pPr>
      <w:r w:rsidRPr="00FF290C">
        <w:t xml:space="preserve">(vztahuje se </w:t>
      </w:r>
      <w:r w:rsidRPr="00FF290C">
        <w:rPr>
          <w:sz w:val="22"/>
          <w:szCs w:val="22"/>
        </w:rPr>
        <w:t>k dosavadnímu</w:t>
      </w:r>
      <w:r w:rsidRPr="00F0566D">
        <w:rPr>
          <w:sz w:val="22"/>
          <w:szCs w:val="22"/>
        </w:rPr>
        <w:t xml:space="preserve"> období rea</w:t>
      </w:r>
      <w:r>
        <w:rPr>
          <w:sz w:val="22"/>
          <w:szCs w:val="22"/>
        </w:rPr>
        <w:t xml:space="preserve">lizace programu, </w:t>
      </w:r>
      <w:r w:rsidRPr="00F0566D">
        <w:rPr>
          <w:sz w:val="22"/>
          <w:szCs w:val="22"/>
        </w:rPr>
        <w:t xml:space="preserve">tj. k období </w:t>
      </w:r>
      <w:r>
        <w:rPr>
          <w:sz w:val="22"/>
          <w:szCs w:val="22"/>
        </w:rPr>
        <w:t>roků</w:t>
      </w:r>
      <w:r w:rsidRPr="00F0566D">
        <w:rPr>
          <w:sz w:val="22"/>
          <w:szCs w:val="22"/>
        </w:rPr>
        <w:t xml:space="preserve"> 2012–2015)</w:t>
      </w:r>
    </w:p>
    <w:p w:rsidR="00B1417A" w:rsidRDefault="00B1417A" w:rsidP="00323AB2">
      <w:pPr>
        <w:keepNext/>
        <w:jc w:val="both"/>
      </w:pPr>
    </w:p>
    <w:p w:rsidR="00B1417A" w:rsidRPr="0075347D" w:rsidRDefault="00B1417A" w:rsidP="00B1417A">
      <w:pPr>
        <w:keepNext/>
        <w:jc w:val="both"/>
        <w:rPr>
          <w:b/>
        </w:rPr>
      </w:pPr>
      <w:r>
        <w:rPr>
          <w:b/>
        </w:rPr>
        <w:t>B1</w:t>
      </w:r>
      <w:r w:rsidRPr="0075347D">
        <w:rPr>
          <w:b/>
        </w:rPr>
        <w:t>.</w:t>
      </w:r>
    </w:p>
    <w:p w:rsidR="007363A8" w:rsidRDefault="00097D74" w:rsidP="000212A1">
      <w:pPr>
        <w:keepNext/>
        <w:jc w:val="both"/>
        <w:rPr>
          <w:b/>
        </w:rPr>
      </w:pPr>
      <w:r>
        <w:rPr>
          <w:b/>
        </w:rPr>
        <w:t>Stručné shrnutí dosavadní realizace programu</w:t>
      </w:r>
    </w:p>
    <w:p w:rsidR="007363A8" w:rsidRPr="00C236A3" w:rsidRDefault="00B77DDB" w:rsidP="000212A1">
      <w:pPr>
        <w:keepNext/>
        <w:jc w:val="both"/>
        <w:rPr>
          <w:i/>
          <w:sz w:val="22"/>
          <w:szCs w:val="22"/>
        </w:rPr>
      </w:pPr>
      <w:r>
        <w:rPr>
          <w:i/>
          <w:sz w:val="22"/>
          <w:szCs w:val="22"/>
        </w:rPr>
        <w:t xml:space="preserve">Předpokládaný rozsah: </w:t>
      </w:r>
      <w:r w:rsidR="00DB00F5">
        <w:rPr>
          <w:i/>
          <w:sz w:val="22"/>
          <w:szCs w:val="22"/>
        </w:rPr>
        <w:t>2</w:t>
      </w:r>
      <w:r w:rsidR="00FF290C">
        <w:rPr>
          <w:i/>
          <w:sz w:val="22"/>
          <w:szCs w:val="22"/>
        </w:rPr>
        <w:t>–</w:t>
      </w:r>
      <w:r w:rsidR="00DB00F5">
        <w:rPr>
          <w:i/>
          <w:sz w:val="22"/>
          <w:szCs w:val="22"/>
        </w:rPr>
        <w:t>5</w:t>
      </w:r>
      <w:r w:rsidR="00FF290C">
        <w:rPr>
          <w:i/>
          <w:sz w:val="22"/>
          <w:szCs w:val="22"/>
        </w:rPr>
        <w:t xml:space="preserve"> stran.</w:t>
      </w:r>
      <w:r>
        <w:rPr>
          <w:i/>
          <w:sz w:val="22"/>
          <w:szCs w:val="22"/>
        </w:rPr>
        <w:t xml:space="preserve"> </w:t>
      </w:r>
      <w:r w:rsidR="00097D74" w:rsidRPr="00C236A3">
        <w:rPr>
          <w:i/>
          <w:sz w:val="22"/>
          <w:szCs w:val="22"/>
        </w:rPr>
        <w:t>Uveďte zejména, kterých plánovaných cílů uvedených v části j)</w:t>
      </w:r>
      <w:r w:rsidR="00F0566D">
        <w:rPr>
          <w:rStyle w:val="Znakapoznpodarou"/>
          <w:i/>
          <w:sz w:val="22"/>
          <w:szCs w:val="22"/>
        </w:rPr>
        <w:footnoteReference w:id="6"/>
      </w:r>
      <w:r w:rsidR="00097D74" w:rsidRPr="00C236A3">
        <w:rPr>
          <w:i/>
          <w:sz w:val="22"/>
          <w:szCs w:val="22"/>
        </w:rPr>
        <w:t>, popř</w:t>
      </w:r>
      <w:r w:rsidR="00C236A3">
        <w:rPr>
          <w:i/>
          <w:sz w:val="22"/>
          <w:szCs w:val="22"/>
        </w:rPr>
        <w:t>. h)</w:t>
      </w:r>
      <w:r w:rsidR="00F0566D">
        <w:rPr>
          <w:rStyle w:val="Znakapoznpodarou"/>
          <w:i/>
          <w:sz w:val="22"/>
          <w:szCs w:val="22"/>
        </w:rPr>
        <w:footnoteReference w:id="7"/>
      </w:r>
      <w:r w:rsidR="00C236A3">
        <w:rPr>
          <w:i/>
          <w:sz w:val="22"/>
          <w:szCs w:val="22"/>
        </w:rPr>
        <w:t xml:space="preserve"> přihlášky programu bylo v </w:t>
      </w:r>
      <w:r w:rsidR="00097D74" w:rsidRPr="00C236A3">
        <w:rPr>
          <w:i/>
          <w:sz w:val="22"/>
          <w:szCs w:val="22"/>
        </w:rPr>
        <w:t xml:space="preserve">dosavadním průběhu realizace programu dosaženo, zda během tohoto období došlo k udržení či zlepšení vědeckého výkonu a kvality v národním a mezinárodním měřítku </w:t>
      </w:r>
      <w:r w:rsidR="00F0566D">
        <w:rPr>
          <w:i/>
          <w:sz w:val="22"/>
          <w:szCs w:val="22"/>
        </w:rPr>
        <w:t xml:space="preserve">(dle indikátorů uvedených v části j) přihlášky programu) </w:t>
      </w:r>
      <w:r w:rsidR="00097D74" w:rsidRPr="00C236A3">
        <w:rPr>
          <w:i/>
          <w:sz w:val="22"/>
          <w:szCs w:val="22"/>
        </w:rPr>
        <w:t>a jaké faktory k tomu přispěly.</w:t>
      </w:r>
    </w:p>
    <w:p w:rsidR="007363A8" w:rsidRPr="00892874" w:rsidRDefault="007363A8" w:rsidP="00097D74">
      <w:pPr>
        <w:jc w:val="both"/>
      </w:pPr>
    </w:p>
    <w:p w:rsidR="001332B1" w:rsidRPr="00892874" w:rsidRDefault="001332B1" w:rsidP="00097D74">
      <w:pPr>
        <w:jc w:val="both"/>
      </w:pPr>
      <w:r w:rsidRPr="00892874">
        <w:tab/>
      </w:r>
      <w:r w:rsidR="00892874">
        <w:t>V této části zprávy bude nejprve stručně předestřeno shrnutí dosavadní realizace dílčích úkolů (srov. výše) celého programu od roku 2012, neboť se domníváme, že na základě toho bude možno lépe zhodnotit dosavadní realizaci programu jako celku.</w:t>
      </w:r>
    </w:p>
    <w:p w:rsidR="006A1A26" w:rsidRDefault="00892874" w:rsidP="006A1A26">
      <w:pPr>
        <w:jc w:val="both"/>
        <w:rPr>
          <w:bCs/>
        </w:rPr>
      </w:pPr>
      <w:r>
        <w:tab/>
      </w:r>
      <w:r w:rsidR="00FA5C00">
        <w:t>Zhodnocení d</w:t>
      </w:r>
      <w:r w:rsidRPr="00BF1E51">
        <w:t>ílčí</w:t>
      </w:r>
      <w:r w:rsidR="00FA5C00">
        <w:t>ch</w:t>
      </w:r>
      <w:r w:rsidRPr="00BF1E51">
        <w:t xml:space="preserve"> úkol</w:t>
      </w:r>
      <w:r w:rsidR="00FA5C00">
        <w:t>ů</w:t>
      </w:r>
      <w:r w:rsidRPr="00BF1E51">
        <w:t xml:space="preserve"> </w:t>
      </w:r>
      <w:r w:rsidRPr="00BF1E51">
        <w:rPr>
          <w:b/>
        </w:rPr>
        <w:t>Rekodifikace soukromého práva a jeho širší rám</w:t>
      </w:r>
      <w:r>
        <w:rPr>
          <w:b/>
        </w:rPr>
        <w:t>ec</w:t>
      </w:r>
      <w:r w:rsidRPr="00892874">
        <w:t xml:space="preserve"> a</w:t>
      </w:r>
      <w:r>
        <w:t xml:space="preserve"> </w:t>
      </w:r>
      <w:r w:rsidR="006631AF">
        <w:rPr>
          <w:b/>
        </w:rPr>
        <w:t>N</w:t>
      </w:r>
      <w:r w:rsidRPr="00D4180F">
        <w:rPr>
          <w:b/>
        </w:rPr>
        <w:t>ové jevy rekodifikovaného soukromého práva</w:t>
      </w:r>
      <w:r w:rsidRPr="00D4180F">
        <w:t xml:space="preserve"> (vedoucí </w:t>
      </w:r>
      <w:r w:rsidR="00FA5C00">
        <w:t xml:space="preserve">obou </w:t>
      </w:r>
      <w:r w:rsidRPr="00D4180F">
        <w:t>dílčí</w:t>
      </w:r>
      <w:r w:rsidR="00FA5C00">
        <w:t>ch</w:t>
      </w:r>
      <w:r w:rsidRPr="00D4180F">
        <w:t xml:space="preserve"> řešitelsk</w:t>
      </w:r>
      <w:r w:rsidR="00FA5C00">
        <w:t>ých</w:t>
      </w:r>
      <w:r w:rsidRPr="00D4180F">
        <w:t xml:space="preserve"> tým</w:t>
      </w:r>
      <w:r w:rsidR="00FA5C00">
        <w:t>ů</w:t>
      </w:r>
      <w:r w:rsidRPr="00D4180F">
        <w:t xml:space="preserve"> prof. Dvořák)</w:t>
      </w:r>
      <w:r w:rsidR="00FA5C00">
        <w:t xml:space="preserve"> lze pro tento účel provést společně, neboť oba dílčí úkole se komplementárně doplňují. Z hlediska rozsahu výzkumu občanského práva, jako obecného práva soukromého, se díky podpoře programu P05 podařilo pokrýt prakticky celé toto široké právní odvětví. Členové řešitelských týmů se mohli koncepčně věnovat problematice napříč všemi základními pilíři soukromého práva, které lze vyjádřit paroemií rodina – vlastnictví – smlouva.</w:t>
      </w:r>
      <w:r w:rsidR="006A1A26">
        <w:t xml:space="preserve"> Jako mimořádně přínosná se ukázala </w:t>
      </w:r>
      <w:r w:rsidR="006A1A26" w:rsidRPr="00707778">
        <w:rPr>
          <w:bCs/>
        </w:rPr>
        <w:t xml:space="preserve">diferenciace výzkumu rekodifikace </w:t>
      </w:r>
      <w:r w:rsidR="006A1A26">
        <w:rPr>
          <w:bCs/>
        </w:rPr>
        <w:t>jednak v obecné rovně a v širším kontextu práv</w:t>
      </w:r>
      <w:r w:rsidR="006A1A26" w:rsidRPr="006A1A26">
        <w:rPr>
          <w:bCs/>
        </w:rPr>
        <w:t xml:space="preserve">ního řádu ČR v obecnosti (dílčí úkol </w:t>
      </w:r>
      <w:r w:rsidR="006A1A26" w:rsidRPr="006A1A26">
        <w:t>Rekodifikace soukromého práva a jeho širší rámec</w:t>
      </w:r>
      <w:r w:rsidR="006A1A26">
        <w:t>, která je</w:t>
      </w:r>
      <w:r w:rsidR="006A1A26" w:rsidRPr="00236817">
        <w:t xml:space="preserve"> provázána s výzkumem dílčích otázek (nové jevy rekodifikovaného soukromého práva)</w:t>
      </w:r>
      <w:r w:rsidR="006A1A26">
        <w:t xml:space="preserve">, analyzovaných do velké hloubky, a to </w:t>
      </w:r>
      <w:r w:rsidR="006A1A26" w:rsidRPr="00707778">
        <w:rPr>
          <w:bCs/>
        </w:rPr>
        <w:t>za přispění historické a komparativní metody výzkumu, v úzké spolupráci s dalšími dílčími týmy</w:t>
      </w:r>
      <w:r w:rsidR="006A1A26">
        <w:rPr>
          <w:bCs/>
        </w:rPr>
        <w:t xml:space="preserve">. </w:t>
      </w:r>
      <w:r w:rsidR="00236817">
        <w:rPr>
          <w:bCs/>
        </w:rPr>
        <w:t>Z tohoto pohledu se jeví, že co do rozsahu výzkumu se dařilo stanovené dílčí cíle naplňovat (k výstupům za rok 2015 srov. výše i níže, jakož i předchozí průběžné zprávy.</w:t>
      </w:r>
    </w:p>
    <w:p w:rsidR="006A1A26" w:rsidRDefault="00236817" w:rsidP="00236817">
      <w:pPr>
        <w:jc w:val="both"/>
      </w:pPr>
      <w:r>
        <w:rPr>
          <w:bCs/>
        </w:rPr>
        <w:tab/>
        <w:t xml:space="preserve">Pokud jde o mezinárodní spolupráci, lze přínos programu hodnotit jednoznačně jako pozitivní. Podařilo se realizovat a dále rozvíjet </w:t>
      </w:r>
      <w:r w:rsidR="006A1A26">
        <w:t>úzk</w:t>
      </w:r>
      <w:r>
        <w:t>ou</w:t>
      </w:r>
      <w:r w:rsidR="006A1A26">
        <w:t xml:space="preserve"> spoluprác</w:t>
      </w:r>
      <w:r>
        <w:t>i</w:t>
      </w:r>
      <w:r w:rsidR="006A1A26">
        <w:t xml:space="preserve"> s předními pracovišti v zahraničí, ať již jde o partnerské univerzity či o </w:t>
      </w:r>
      <w:r w:rsidR="006A1A26" w:rsidRPr="0011729A">
        <w:t>vědeck</w:t>
      </w:r>
      <w:r w:rsidR="006A1A26">
        <w:t>á</w:t>
      </w:r>
      <w:r w:rsidR="006A1A26" w:rsidRPr="0011729A">
        <w:t>, pedagogick</w:t>
      </w:r>
      <w:r w:rsidR="006A1A26">
        <w:t>á</w:t>
      </w:r>
      <w:r w:rsidR="006A1A26" w:rsidRPr="0011729A">
        <w:t xml:space="preserve"> a jinak odborně</w:t>
      </w:r>
      <w:r w:rsidR="006A1A26">
        <w:t xml:space="preserve"> </w:t>
      </w:r>
      <w:r w:rsidR="006A1A26" w:rsidRPr="0011729A">
        <w:t>profilovan</w:t>
      </w:r>
      <w:r w:rsidR="006A1A26">
        <w:t>á</w:t>
      </w:r>
      <w:r w:rsidR="006A1A26" w:rsidRPr="0011729A">
        <w:t xml:space="preserve"> </w:t>
      </w:r>
      <w:r w:rsidR="006A1A26">
        <w:t>pracoviště a ústavy či nadnárodní instituce (</w:t>
      </w:r>
      <w:r w:rsidR="006A1A26" w:rsidRPr="0011729A">
        <w:t>Gandolphiho Academie privatistů, Common Core, Acquis</w:t>
      </w:r>
      <w:r w:rsidR="006A1A26">
        <w:t xml:space="preserve"> Group, ECTIL, IA</w:t>
      </w:r>
      <w:r w:rsidR="006A1A26" w:rsidRPr="0011729A">
        <w:t>CL</w:t>
      </w:r>
      <w:r>
        <w:t xml:space="preserve">, </w:t>
      </w:r>
      <w:r w:rsidR="006A1A26">
        <w:t>atd</w:t>
      </w:r>
      <w:r w:rsidR="006A1A26" w:rsidRPr="0011729A">
        <w:t>.</w:t>
      </w:r>
      <w:r w:rsidR="006A1A26">
        <w:t xml:space="preserve">). </w:t>
      </w:r>
      <w:r>
        <w:t>Spolupráce se realizuje především formou</w:t>
      </w:r>
      <w:r w:rsidR="006A1A26">
        <w:t xml:space="preserve"> výměnn</w:t>
      </w:r>
      <w:r>
        <w:t>ých</w:t>
      </w:r>
      <w:r w:rsidR="006A1A26">
        <w:t xml:space="preserve"> pobyt</w:t>
      </w:r>
      <w:r>
        <w:t>ů,</w:t>
      </w:r>
      <w:r w:rsidR="006A1A26">
        <w:t xml:space="preserve"> stáž</w:t>
      </w:r>
      <w:r>
        <w:t>í</w:t>
      </w:r>
      <w:r w:rsidR="006A1A26">
        <w:t xml:space="preserve"> členů řešitelského týmu, účast</w:t>
      </w:r>
      <w:r>
        <w:t>í</w:t>
      </w:r>
      <w:r w:rsidR="006A1A26">
        <w:t xml:space="preserve"> předních zahraničních </w:t>
      </w:r>
      <w:r w:rsidR="006A1A26">
        <w:lastRenderedPageBreak/>
        <w:t>odborníků na mezinárodních konferencích i spolupráci v rámci domácí i zahraniční publikační činnosti</w:t>
      </w:r>
      <w:r>
        <w:t xml:space="preserve"> (v podrobnostech lze opět odkázat na tuto i dřívější zprávy)</w:t>
      </w:r>
      <w:r w:rsidR="006A1A26">
        <w:t>.</w:t>
      </w:r>
    </w:p>
    <w:p w:rsidR="002E5A9D" w:rsidRDefault="002E5A9D" w:rsidP="00236817">
      <w:pPr>
        <w:jc w:val="both"/>
      </w:pPr>
      <w:r>
        <w:tab/>
        <w:t xml:space="preserve">V souvislosti s tím, co bylo uvedeno výše, lze kladně hodnotit také zvýšení četnosti a především kvality publikační činnosti – byly vydány publikace, které tvoří těžiště základní profilující privatistické literatury v ČR, důsledně reflektující rekodifikované soukromé právo. Pokud jde o učebnice, je třeba připomenout, že ty, které jsou odbornou právnickou veřejností zkráceně označovány jako tzv. „pražské“ (tj. ty, které byly vydány za podpory programu P05), jsou nejen pedagogickou pomůckou pro studenty všech forem studia, nýbrž zásadním způsobem překračují rámec univerzitního prostředí – patří k základní literatuře téměř každého praktikujícího právníka, ať se jedná o soudce, notáře, advokáty či exekutory. Dokladem kvality a praktického významu těchto textů jsou jednak významná ocenění těchto publikací (učebnice Občanské právo hmotné: obecná část </w:t>
      </w:r>
      <w:r w:rsidRPr="00BF1E51">
        <w:rPr>
          <w:rStyle w:val="txt-red"/>
          <w:bCs/>
        </w:rPr>
        <w:t xml:space="preserve">získala prestižní ocenění </w:t>
      </w:r>
      <w:r>
        <w:rPr>
          <w:rStyle w:val="txt-red"/>
          <w:bCs/>
        </w:rPr>
        <w:t>„</w:t>
      </w:r>
      <w:r w:rsidRPr="00BF1E51">
        <w:rPr>
          <w:rStyle w:val="txt-red"/>
          <w:bCs/>
        </w:rPr>
        <w:t>Nejhodnotnější právnická publikace roku 2013</w:t>
      </w:r>
      <w:r>
        <w:rPr>
          <w:rStyle w:val="txt-red"/>
          <w:bCs/>
        </w:rPr>
        <w:t>“</w:t>
      </w:r>
      <w:r w:rsidRPr="00BF1E51">
        <w:rPr>
          <w:rStyle w:val="txt-red"/>
          <w:bCs/>
        </w:rPr>
        <w:t xml:space="preserve"> a Cen</w:t>
      </w:r>
      <w:r>
        <w:rPr>
          <w:rStyle w:val="txt-red"/>
          <w:bCs/>
        </w:rPr>
        <w:t>u</w:t>
      </w:r>
      <w:r w:rsidRPr="00BF1E51">
        <w:rPr>
          <w:rStyle w:val="txt-red"/>
          <w:bCs/>
        </w:rPr>
        <w:t xml:space="preserve"> Jaroslava Jirsy za nejlepší učebnici Univerzity Karlovy v oborech společenskovědních</w:t>
      </w:r>
      <w:r>
        <w:rPr>
          <w:rStyle w:val="txt-red"/>
          <w:bCs/>
        </w:rPr>
        <w:t xml:space="preserve"> </w:t>
      </w:r>
      <w:r>
        <w:t xml:space="preserve">srov. podrobně v průběžné zprávě za rok 2014, </w:t>
      </w:r>
      <w:r w:rsidR="00767CC1">
        <w:t>Komentář k OZ získal cenu „</w:t>
      </w:r>
      <w:r w:rsidR="00767CC1" w:rsidRPr="00767CC1">
        <w:t>Autorská cena 2015 Karlovarských právnických dnů za nejhodnotnější právnickou publikaci roku</w:t>
      </w:r>
      <w:r w:rsidR="00767CC1">
        <w:t>“, srov. již výše</w:t>
      </w:r>
      <w:r w:rsidR="00767CC1" w:rsidRPr="00767CC1">
        <w:t>.</w:t>
      </w:r>
      <w:r>
        <w:t>), jednak skutečnost, že je již připraveno v tisku druhé aktualizované vydání (Občanské právo hmotné: obecná část) či dotisky (Civilní právo procesní. První část i Komentář k OZ)</w:t>
      </w:r>
      <w:r w:rsidR="00767CC1">
        <w:t xml:space="preserve"> a konečně i skutečnost, že literatura je hojně citována dalšími autory, jakož i soudy, včetně Ústavního soudu ČR (srov. výše).</w:t>
      </w:r>
    </w:p>
    <w:p w:rsidR="00767CC1" w:rsidRPr="00892874" w:rsidRDefault="00767CC1" w:rsidP="00236817">
      <w:pPr>
        <w:jc w:val="both"/>
      </w:pPr>
      <w:r>
        <w:tab/>
        <w:t>Dílčí úkoly a jejich plnění mají také pozitivní vliv na všechny formy studia uskutečňované na fakultě, v nichž členové řešitelských týmů samozřejmě plně participují. Nové poznatky jsou studentům předávány nejen formou učebních pomůcek (ať už základních, srov. výše, či dalších odborných výstupů), nýbrž se daří přímo zapojovat studenty do činností souvisejících s plněním dílčích cílů programu, a to adekvátně formě jejich studia. Zatímco studenti magisterského studia využívají spolupráce s členy řešitelských týmů především při jejich studentské vědecké odborné činnosti (SVOČ) a podílí se také např. na rešerších zdrojů v rámci výzkumu, studenti rigorózního a především doktorského studia již sami aktivně přispívají k plnění cílů programu svými poznatky, které prezentují jednak ve svých odborných pracích, které publikují, jednak rovněž účastí na různých konferencích, workshopech a diskuzních fórech, kde rovněž prezentují výsledky výzkumu podporovaného programem P05. také v této oblasti tak lze jednoznačně konstatovat dlouhodobě příznivý dopad programu na všechny formy pedagogické činnosti a na zvýšení kvality studia a studijních podmínek obecně.</w:t>
      </w:r>
    </w:p>
    <w:p w:rsidR="003C68D1" w:rsidRDefault="00767CC1" w:rsidP="00767CC1">
      <w:pPr>
        <w:jc w:val="both"/>
      </w:pPr>
      <w:r>
        <w:tab/>
        <w:t xml:space="preserve">Dílčí úkol </w:t>
      </w:r>
      <w:r w:rsidR="006631AF">
        <w:rPr>
          <w:b/>
        </w:rPr>
        <w:t>A</w:t>
      </w:r>
      <w:r w:rsidRPr="004D784D">
        <w:rPr>
          <w:b/>
        </w:rPr>
        <w:t>nalýza právní úpravy obchodních korporací v rekodifikačních předpisech a dopad nové právní úpravy na hranice obchodního práva jako soukromoprávního oboru</w:t>
      </w:r>
      <w:r w:rsidRPr="004D784D">
        <w:t xml:space="preserve"> (vedoucí dílčího řešitelského týmu prof. Černá)</w:t>
      </w:r>
      <w:r>
        <w:t xml:space="preserve"> zaměřil se </w:t>
      </w:r>
      <w:r w:rsidR="003C68D1" w:rsidRPr="005C7771">
        <w:t>na hlavní změny českého obchodního práva po rekodifikaci, a to včetně dílčích srovnání s úpravami některých evropských zemí (zejména Německa, Francie, Švýcarska či Velké Británie a dílčím způsobem i práva amerických států). Zohledňováno bylo i případné „unijní řešení“. Jednotlivé obchodněprávní instituty a jejich nedávné změny byly analyzovány s ohledem na to, do jaké míry splňují funkci podpory efektivního fungování obchod</w:t>
      </w:r>
      <w:r w:rsidR="003C68D1">
        <w:t xml:space="preserve">ní korporace a současně poskytují ochranu obchodní korporaci, (hlavně je-li ovládána či řízena v rámci podnikatelského seskupení), jejím menšinovým společníkům a věřitelům, jaký prostor poskytují k realizaci legitimních zájmů společníků a zda přispívají k posílení jistoty v obchodněprávním styku. </w:t>
      </w:r>
    </w:p>
    <w:p w:rsidR="003C68D1" w:rsidRPr="00EF2F72" w:rsidRDefault="003C68D1" w:rsidP="003C68D1">
      <w:pPr>
        <w:autoSpaceDE w:val="0"/>
        <w:adjustRightInd w:val="0"/>
        <w:ind w:firstLine="708"/>
        <w:jc w:val="both"/>
        <w:rPr>
          <w:b/>
        </w:rPr>
      </w:pPr>
      <w:r>
        <w:t xml:space="preserve">Řešitelské výstupy byly </w:t>
      </w:r>
      <w:r w:rsidRPr="005C7771">
        <w:t>prezentovány v komentářové literatuře, neboť členové řešitelského týmu byli členy autorských kolektivů zpracovávajících</w:t>
      </w:r>
      <w:r>
        <w:t xml:space="preserve"> komentáře k zákonu o obchodních korporacích a k občanskému zákoníku prestižních vydavatelství jako C. H. Beck </w:t>
      </w:r>
      <w:r>
        <w:lastRenderedPageBreak/>
        <w:t>či Wolers Kluwer. Další výstupy jsou obsaženy v příspěvcích autorů v recenzovaných časopisech a sb</w:t>
      </w:r>
      <w:r w:rsidR="005C7771">
        <w:t>ornících a v odborných knihách.</w:t>
      </w:r>
    </w:p>
    <w:p w:rsidR="003C68D1" w:rsidRDefault="003C68D1" w:rsidP="003C68D1">
      <w:pPr>
        <w:autoSpaceDE w:val="0"/>
        <w:adjustRightInd w:val="0"/>
        <w:ind w:firstLine="708"/>
        <w:jc w:val="both"/>
      </w:pPr>
      <w:r>
        <w:t xml:space="preserve">Výstupy zkoumání </w:t>
      </w:r>
      <w:r w:rsidRPr="005C7771">
        <w:t>byly prezentovány na mezinárodních konferencích</w:t>
      </w:r>
      <w:r>
        <w:t xml:space="preserve"> (např. Černá S., příspěvek „La liberté de décision dans les groupes de sociétés commericalles“ přednesený na mezinárodním kolokviu Quelle liberté </w:t>
      </w:r>
      <w:r w:rsidRPr="005C7771">
        <w:t>pour le 21. siecle?</w:t>
      </w:r>
      <w:r w:rsidR="001332B1" w:rsidRPr="005C7771">
        <w:t>,</w:t>
      </w:r>
      <w:r w:rsidRPr="005C7771">
        <w:t xml:space="preserve"> organizovaném právnickou fakultou univerzity Paris Assas II v Paříži 2.</w:t>
      </w:r>
      <w:r w:rsidR="001332B1" w:rsidRPr="005C7771">
        <w:t xml:space="preserve"> </w:t>
      </w:r>
      <w:r w:rsidRPr="005C7771">
        <w:t>10.</w:t>
      </w:r>
      <w:r w:rsidR="001332B1" w:rsidRPr="005C7771">
        <w:t xml:space="preserve"> </w:t>
      </w:r>
      <w:r w:rsidRPr="005C7771">
        <w:t>2015, P. Čech příspěvek „Neues Tschechisches Recht für faktische Konzerne - Von Deutschland zu Rozenblum oder doch ein dritter Weg?“ přednesený na mezinárodní konferenci k právní organizaci přeshraničních skupin společností ve střední a východní Evropě organizované Andrássy Universität v Budapešti na ve dnech 12. až 13. června 2015</w:t>
      </w:r>
      <w:r w:rsidR="005C7771" w:rsidRPr="005C7771">
        <w:t xml:space="preserve"> atd., srov. v podrobnostech dřívější průběžné a bilanční zprávy</w:t>
      </w:r>
      <w:r w:rsidRPr="005C7771">
        <w:t>). Výstupem zkoumání z oblasti práva obchodních korporací byla mezinárodní konference Corporate governance ve střední Evropě, která se konala 30.</w:t>
      </w:r>
      <w:r>
        <w:t xml:space="preserve"> května 2014 na PF UK Praha, již organizoval řešitelský kolektiv s účastí více jak 80 posluchačů. Na ní přednesli své příspěvky, kromě hostů, i členové řešitelského týmu (Eichlerová, K. Horáček, V., Borsík, D., Josková, L. a Pelikán, R.). </w:t>
      </w:r>
    </w:p>
    <w:p w:rsidR="003C68D1" w:rsidRPr="005C7771" w:rsidRDefault="003C68D1" w:rsidP="003C68D1">
      <w:pPr>
        <w:autoSpaceDE w:val="0"/>
        <w:adjustRightInd w:val="0"/>
        <w:ind w:firstLine="708"/>
        <w:jc w:val="both"/>
      </w:pPr>
      <w:r>
        <w:t xml:space="preserve">Výstupy členů řešitelského týmu se </w:t>
      </w:r>
      <w:r w:rsidRPr="005C7771">
        <w:t>promítly i v pedagogické oblasti, a to konkrétně v učebnici věnované právu obchodních korporací, která kromě nové české úpravy obchodních korporací pojednává i o (evropských) nadnárodních formách, o investičních společnostech a fondech a obchodních korporacích „operujících“ na kapitálovém trhu, a to i v evropském kontextu a obsahuje též dílčí pasáže o vybraných zahraničních úpravách (Černá, S., Štenglová, I., Pelikánová, a kol.: Právo obchodních korporací</w:t>
      </w:r>
      <w:r w:rsidR="005C7771">
        <w:t>, Wolters Kluwer, a.s. 2015.</w:t>
      </w:r>
    </w:p>
    <w:p w:rsidR="003C68D1" w:rsidRDefault="005C7771" w:rsidP="003C68D1">
      <w:pPr>
        <w:jc w:val="both"/>
        <w:rPr>
          <w:b/>
        </w:rPr>
      </w:pPr>
      <w:r>
        <w:tab/>
      </w:r>
      <w:r w:rsidR="003C68D1" w:rsidRPr="005C7771">
        <w:t>Souhrnně lze konstatovat, že se řešitelskému týmu postupně daří prohlubovat hloubku analýzy jednotlivých témat a rozšiřovat spektrum zkoumaných otázek, neboť může čerpat jak z odborných diskusí v rámci okruhu řešitelů dílčího úkolu, tak ze studia publikovaných názorů tuzemských i zahraničních komercialistů a civilistů. Pozitivem je i to, že se do odborného výzkumu daří zapojovat i studenty doktorského programu, kteří k řešení dílčího úkolu přispívají jednak analýzou otázek spadajících do tematického</w:t>
      </w:r>
      <w:r w:rsidR="003C68D1">
        <w:t xml:space="preserve"> rámce jejich disertační práce i svými dalšími odbornými výstupy (např. v rámci </w:t>
      </w:r>
      <w:r w:rsidR="003C68D1" w:rsidRPr="00877955">
        <w:t xml:space="preserve">doktorandské vědecké konference s názvem </w:t>
      </w:r>
      <w:r w:rsidR="003C68D1">
        <w:t>„Zákon o </w:t>
      </w:r>
      <w:r w:rsidR="003C68D1" w:rsidRPr="00877955">
        <w:t>obchodních korporacích: (stále) nové výzvy“ konané dne 4. prosince 2015 na Právnické fakultě Univerzity Karlovy v</w:t>
      </w:r>
      <w:r w:rsidR="003C68D1">
        <w:t> </w:t>
      </w:r>
      <w:r w:rsidR="003C68D1" w:rsidRPr="00877955">
        <w:t>Praze</w:t>
      </w:r>
      <w:r w:rsidR="003C68D1">
        <w:t>).</w:t>
      </w:r>
    </w:p>
    <w:p w:rsidR="00847CAD" w:rsidRDefault="005C7771" w:rsidP="00847CAD">
      <w:pPr>
        <w:jc w:val="both"/>
      </w:pPr>
      <w:r w:rsidRPr="005C7771">
        <w:tab/>
      </w:r>
      <w:r>
        <w:t>Z</w:t>
      </w:r>
      <w:r w:rsidRPr="005C7771">
        <w:t xml:space="preserve">a </w:t>
      </w:r>
      <w:r>
        <w:t xml:space="preserve">dílčí úkol </w:t>
      </w:r>
      <w:r w:rsidRPr="002D31FB">
        <w:rPr>
          <w:b/>
        </w:rPr>
        <w:t>Mezinárodně-právní aspekty soukromého práva</w:t>
      </w:r>
      <w:r w:rsidRPr="002D31FB">
        <w:t xml:space="preserve"> (vedoucí dílčího řešitelského týmu prof.</w:t>
      </w:r>
      <w:r w:rsidRPr="0093224A">
        <w:t xml:space="preserve"> Pauknerová)</w:t>
      </w:r>
      <w:r>
        <w:t xml:space="preserve"> lze uvést, že pozornost se přirozeně zaměřila na nový </w:t>
      </w:r>
      <w:r w:rsidR="00847CAD">
        <w:t>zákon o mezinárodním právu soukromém, který si zasluhuje pozornost i na širší než národní úrovni. Zákon přinesl řadu pokrokových řešení, která je vhodné prezentovat a srovnávat minimálně v evropském měřítku.</w:t>
      </w:r>
      <w:r w:rsidR="00847CAD" w:rsidRPr="004B28FB">
        <w:t xml:space="preserve"> </w:t>
      </w:r>
      <w:r w:rsidR="00847CAD">
        <w:t xml:space="preserve">Právní komparatistika je jednou z předních podmínek bádání </w:t>
      </w:r>
      <w:r w:rsidR="00847CAD" w:rsidRPr="00B263E6">
        <w:t>v tomto oboru.</w:t>
      </w:r>
      <w:r w:rsidR="00847CAD">
        <w:t xml:space="preserve"> V tomto směru je vhodné zdůraznit jak publikace tuzemské (velký komentář k zákonu o mezinárodním právu soukromém, nová učebnice mezinárodního práva soukromého, monografie o novém kritériu obvyklého pobytu), tak zahraniční (prezentace základních teoretických východisek v komparativním pohledu – článek v prestižním britském časopise, kapitoly v monografiích věnované české právní úpravě mezinárodní mediace v nakladatelství Springer Verlag a mezinárodní surogace ve známém nakladatelství Hart Publishing), jakož i srovnávací pohled na postavení mezinárodního práva soukromého v moderní společnosti (v monografii Rule of Law and Mechanisms of its Protection), aj.</w:t>
      </w:r>
    </w:p>
    <w:p w:rsidR="00847CAD" w:rsidRDefault="005C7771" w:rsidP="00847CAD">
      <w:pPr>
        <w:jc w:val="both"/>
      </w:pPr>
      <w:r>
        <w:tab/>
        <w:t xml:space="preserve">Dále se řešitelé </w:t>
      </w:r>
      <w:r w:rsidR="00847CAD">
        <w:t xml:space="preserve">se zaměřili na </w:t>
      </w:r>
      <w:r>
        <w:t xml:space="preserve">evropský rozměr a unifikaci mezinárodního práva soukromého, tj. především na </w:t>
      </w:r>
      <w:r w:rsidR="00847CAD">
        <w:t>evropská nařízení, na srovnávání národních úprav implementovaných na základě směrnic v evropské přeshraniční mediaci (kapitola v monografii nakladatelství Intersentia v Cambridgi), srovnání judikatury Soudního dvora EU v mezinárodním civilním procesu (kapitola v monografii vydané v Lundu), diskusi nad určením práva rozhodného pro jednostranná právní jednání (článek v elektronickém časopisu pro srovnávací právo nakladatelství Martinus Nijhoff), aj.</w:t>
      </w:r>
    </w:p>
    <w:p w:rsidR="003C68D1" w:rsidRDefault="001332B1" w:rsidP="00847CAD">
      <w:pPr>
        <w:jc w:val="both"/>
        <w:rPr>
          <w:b/>
        </w:rPr>
      </w:pPr>
      <w:r>
        <w:lastRenderedPageBreak/>
        <w:tab/>
      </w:r>
      <w:r w:rsidR="00847CAD">
        <w:t xml:space="preserve">Během tohoto období došlo podle našeho názoru ke zlepšení vědeckého výkonu a kvality výstupů jak v národním, tak v mezinárodním měřítku. Pokud jde o ČR, členové týmu jsou vůdčími osobnostmi velkého komentáře i spoluautory základní učebnice mezinárodního práva soukromého. V mezinárodním měřítku se M. Pauknerová a M. Pfeiffer výrazně prosadily na vrcholných mezinárodních konferencích (zejména kongres Akademie srovnávacího práva ve Vídni </w:t>
      </w:r>
      <w:smartTag w:uri="urn:schemas-microsoft-com:office:smarttags" w:element="metricconverter">
        <w:smartTagPr>
          <w:attr w:name="ProductID" w:val="2014 a"/>
        </w:smartTagPr>
        <w:r w:rsidR="00847CAD">
          <w:t>2014 a</w:t>
        </w:r>
      </w:smartTag>
      <w:r w:rsidR="00847CAD">
        <w:t xml:space="preserve"> konference Journal of Private Internatinal Law v Madridu </w:t>
      </w:r>
      <w:smartTag w:uri="urn:schemas-microsoft-com:office:smarttags" w:element="metricconverter">
        <w:smartTagPr>
          <w:attr w:name="ProductID" w:val="2013 a"/>
        </w:smartTagPr>
        <w:r w:rsidR="00847CAD">
          <w:t>2013 a</w:t>
        </w:r>
      </w:smartTag>
      <w:r w:rsidR="00847CAD">
        <w:t xml:space="preserve"> v Cambridgi 2015), z těchto vystoupení jsou, resp. budou prezentovány výstupy v prestižních mezinárodních nakladatelstvích.</w:t>
      </w:r>
    </w:p>
    <w:p w:rsidR="00847CAD" w:rsidRDefault="00847CAD" w:rsidP="00847CAD">
      <w:pPr>
        <w:jc w:val="both"/>
      </w:pPr>
      <w:r>
        <w:tab/>
      </w:r>
      <w:r w:rsidRPr="00215B0F">
        <w:t xml:space="preserve">Z pohledu dílčího úkolu </w:t>
      </w:r>
      <w:r w:rsidR="006631AF">
        <w:rPr>
          <w:b/>
        </w:rPr>
        <w:t>P</w:t>
      </w:r>
      <w:r w:rsidRPr="005C7771">
        <w:rPr>
          <w:b/>
        </w:rPr>
        <w:t>racovní právo po novém občanském zákoníku</w:t>
      </w:r>
      <w:r>
        <w:t xml:space="preserve"> </w:t>
      </w:r>
      <w:r w:rsidR="005C7771" w:rsidRPr="002D31FB">
        <w:t>(vedoucí dílčího řešitelského týmu prof.</w:t>
      </w:r>
      <w:r w:rsidR="005C7771">
        <w:t xml:space="preserve"> Pichrt</w:t>
      </w:r>
      <w:r w:rsidR="005C7771" w:rsidRPr="0093224A">
        <w:t>)</w:t>
      </w:r>
      <w:r w:rsidR="005C7771">
        <w:t xml:space="preserve"> </w:t>
      </w:r>
      <w:r>
        <w:t>lze konstatovat, že dosavadní realizace programu obohatila, zejména v podobě publikačních výstupů členů týmu, českou právní literaturu o počiny významné nejen z pohledu právní teorie, ale i z pohledu aplikační praxe a přispěla tak v oblasti pracovního práva, resp. v oblasti právní úpravy výkonu závislé práce v jejích nejrůznějších podobách (a v souvisejících otázkách) k rozvoji poznání této specifické oblasti soukromého práva. Četnost i pestrost publikačních výstupů realizačního týmu je po celou dobu realizace programu velmi stabilní, dokonce s mírně stoupajícím trendem. Publikační výstupy i konferenční vystoupení členů týmu, se setkávají doma i v zahraniční s pozitivními ohlasy. Z poznaných zpětných vazeb lze konstatovat, že v rámci české právní teorie a zprostředkovaně i právní praxe</w:t>
      </w:r>
      <w:r w:rsidR="005C7771">
        <w:t xml:space="preserve"> </w:t>
      </w:r>
      <w:r>
        <w:t>je oceňováno, že vědecká práce členů řešitelského týmu se nevyhýbá ani otázkám dosud málo či vůbec řešeným a s evidentním přínosem pro aplikační praxi.</w:t>
      </w:r>
    </w:p>
    <w:p w:rsidR="00847CAD" w:rsidRDefault="00847CAD" w:rsidP="00847CAD">
      <w:pPr>
        <w:jc w:val="both"/>
      </w:pPr>
      <w:r>
        <w:tab/>
        <w:t>Mezinárodní uznání práce členů řešitelského týmu se projevilo mj. i skutečností, že Právnická fakulta UK bude na podzim roku 2017 hostit jednání XII. evropského kongresu Mezinárodní společnosti pro pracovní právo a právo sociálního zabezpečení; pořadatelství tohoto kongresu bylo svěřeno (české) Společnosti pro pracovní právo a právo sociálního zabezpečení, jejíž jsou člen</w:t>
      </w:r>
      <w:r w:rsidR="005C7771">
        <w:t>ové</w:t>
      </w:r>
      <w:r>
        <w:t xml:space="preserve"> řešitelského týmu aktivními členy a představiteli. </w:t>
      </w:r>
    </w:p>
    <w:p w:rsidR="00847CAD" w:rsidRDefault="00847CAD" w:rsidP="00847CAD">
      <w:pPr>
        <w:jc w:val="both"/>
      </w:pPr>
      <w:r>
        <w:tab/>
        <w:t xml:space="preserve">Publikační výstupy členů řešitelského týmu jsou (z pohledu oboru) poměrně hojně citovány, členové týmu jsou žádáni o příspěvky do mezinárodních kolektivních monografií či sborníků a jsou zváni jako řečníci na různé konference a v případě elektronických publikací se některé jejich příspěvky opakovaně umístily v „top download list“ apod. </w:t>
      </w:r>
    </w:p>
    <w:p w:rsidR="00847CAD" w:rsidRPr="00847CAD" w:rsidRDefault="00847CAD" w:rsidP="00847CAD">
      <w:pPr>
        <w:jc w:val="both"/>
      </w:pPr>
      <w:r>
        <w:tab/>
        <w:t>Dosavadní realizaci programu lze z pohledu dílčího úkolu hodnotit jako směřující k jeho naplnění, tedy přispět v rovině právně teoretické k vědeckému poznání dopadů rekodifikace soukromého práva do oblasti právní úpravy výkonu závislé práce, a to výstupy přínosnými (byť zprostředkovaně) i pro aplikační praxi.</w:t>
      </w:r>
    </w:p>
    <w:p w:rsidR="00847CAD" w:rsidRPr="008257F9" w:rsidRDefault="008257F9" w:rsidP="008257F9">
      <w:pPr>
        <w:jc w:val="both"/>
      </w:pPr>
      <w:r w:rsidRPr="008257F9">
        <w:tab/>
        <w:t xml:space="preserve">V rámci </w:t>
      </w:r>
      <w:r>
        <w:t xml:space="preserve">dílčího úkolu </w:t>
      </w:r>
      <w:r w:rsidRPr="002D31FB">
        <w:rPr>
          <w:b/>
        </w:rPr>
        <w:t>Aktuální otázky autorského práva</w:t>
      </w:r>
      <w:r w:rsidRPr="002D31FB">
        <w:t xml:space="preserve"> (vedoucí dílčího řešitelského týmu </w:t>
      </w:r>
      <w:r w:rsidRPr="008257F9">
        <w:t xml:space="preserve">prof. Kříž) byla především rozvíjena a posilována mezinárodní spolupráce: členové týmu </w:t>
      </w:r>
      <w:r w:rsidR="00847CAD" w:rsidRPr="008257F9">
        <w:t>v daném období spolupracoval</w:t>
      </w:r>
      <w:r w:rsidRPr="008257F9">
        <w:t>i</w:t>
      </w:r>
      <w:r w:rsidR="00847CAD" w:rsidRPr="008257F9">
        <w:t xml:space="preserve"> především s Ústavem informačního práva Právnické fakulty Univerzity Amsterdam (např. přednáška P.B. Hugenholtze v říjnu 2013), </w:t>
      </w:r>
      <w:r w:rsidR="00847CAD" w:rsidRPr="008257F9">
        <w:rPr>
          <w:color w:val="000000"/>
        </w:rPr>
        <w:t xml:space="preserve">univerzitou Bocconi v Miláně (např. přednáška prof. </w:t>
      </w:r>
      <w:r w:rsidR="00847CAD" w:rsidRPr="008257F9">
        <w:t>prof. Laurent Manderieux z University Bocconi, 27.</w:t>
      </w:r>
      <w:r w:rsidRPr="008257F9">
        <w:t xml:space="preserve"> </w:t>
      </w:r>
      <w:r w:rsidR="00847CAD" w:rsidRPr="008257F9">
        <w:t>3.</w:t>
      </w:r>
      <w:r w:rsidRPr="008257F9">
        <w:t xml:space="preserve"> </w:t>
      </w:r>
      <w:r w:rsidR="00847CAD" w:rsidRPr="008257F9">
        <w:rPr>
          <w:color w:val="000000"/>
        </w:rPr>
        <w:t xml:space="preserve">2014), </w:t>
      </w:r>
      <w:r w:rsidR="00847CAD" w:rsidRPr="008257F9">
        <w:t>Univerzitou Queen Mary College, Londýn (účast na konferenci „Preparing for the Unitary Patent Package“ 3.-6.</w:t>
      </w:r>
      <w:r w:rsidRPr="008257F9">
        <w:t xml:space="preserve"> </w:t>
      </w:r>
      <w:r w:rsidR="00847CAD" w:rsidRPr="008257F9">
        <w:t>12.</w:t>
      </w:r>
      <w:r w:rsidRPr="008257F9">
        <w:t xml:space="preserve"> </w:t>
      </w:r>
      <w:r w:rsidR="00847CAD" w:rsidRPr="008257F9">
        <w:t xml:space="preserve">2014). Dlouhodobá je též naše spolupráce s Právnickou fakultou University v Pasově. V roce 2015 byly učiněny kroky ke spolupráci s University of Washington School of Law (kolokvium na téma </w:t>
      </w:r>
      <w:r w:rsidR="00847CAD" w:rsidRPr="008257F9">
        <w:rPr>
          <w:lang w:val="en-US"/>
        </w:rPr>
        <w:t xml:space="preserve">“News Aggregator Liability” </w:t>
      </w:r>
      <w:r w:rsidR="00847CAD" w:rsidRPr="008257F9">
        <w:t>25. 6. 2015 na PF UK (vystoupení profesorky Toshiko Takenaka, LL.M., Ph.D.).</w:t>
      </w:r>
      <w:r w:rsidRPr="008257F9">
        <w:t xml:space="preserve"> Za tradiční je již možno považovat spolupráci </w:t>
      </w:r>
      <w:r w:rsidR="00847CAD" w:rsidRPr="008257F9">
        <w:t xml:space="preserve">s Technickou Universitou v Drážďanech, která k nám vysílá své studenty na roční stáže (obsahem je především asistence při sepsání práce LL.M. s úzkým propojením na aktivity PRVOUK 05). </w:t>
      </w:r>
    </w:p>
    <w:p w:rsidR="00847CAD" w:rsidRPr="008257F9" w:rsidRDefault="008257F9" w:rsidP="008257F9">
      <w:pPr>
        <w:spacing w:after="100" w:afterAutospacing="1"/>
        <w:contextualSpacing/>
        <w:jc w:val="both"/>
        <w:rPr>
          <w:color w:val="000000"/>
        </w:rPr>
      </w:pPr>
      <w:r w:rsidRPr="008257F9">
        <w:tab/>
      </w:r>
      <w:r w:rsidR="00847CAD" w:rsidRPr="008257F9">
        <w:t xml:space="preserve">Ústav </w:t>
      </w:r>
      <w:r w:rsidRPr="008257F9">
        <w:t xml:space="preserve">autorského práva, jehož jsou členy jsou participanti dílčího úkolu P05, </w:t>
      </w:r>
      <w:r w:rsidR="00847CAD" w:rsidRPr="008257F9">
        <w:t xml:space="preserve">je průběžně činný v </w:t>
      </w:r>
      <w:r w:rsidR="00847CAD" w:rsidRPr="008257F9">
        <w:rPr>
          <w:color w:val="000000"/>
        </w:rPr>
        <w:t>rámci European Intellectual Property Teachers' Network (EIPTN), zájmové skupiny sdružující pedagogy z Evropy v</w:t>
      </w:r>
      <w:r w:rsidRPr="008257F9">
        <w:rPr>
          <w:color w:val="000000"/>
        </w:rPr>
        <w:t xml:space="preserve"> oblasti duševního vlastnictví.</w:t>
      </w:r>
    </w:p>
    <w:p w:rsidR="00847CAD" w:rsidRPr="001B4E61" w:rsidRDefault="008257F9" w:rsidP="00847CAD">
      <w:pPr>
        <w:jc w:val="both"/>
      </w:pPr>
      <w:r w:rsidRPr="008257F9">
        <w:lastRenderedPageBreak/>
        <w:tab/>
      </w:r>
      <w:r w:rsidR="00847CAD" w:rsidRPr="008257F9">
        <w:t>Mezinárodní spolupráce podporuje a rozšiřuje mobilitu vědeckých pracovníků Ústavu, jakož i zvyšuje mezinárodní rozhled studentů garantova</w:t>
      </w:r>
      <w:r w:rsidR="00847CAD" w:rsidRPr="001B4E61">
        <w:t xml:space="preserve">ných předmětů a současně napomáhá vědeckým činnostem Ústavu a to zejm. publikační činnosti (viz především pravidelná roční kolektivní monografie), výchově postgraduálních studentů a přípravě anglickojazyčných programů Erasmus/Socrates a LL.M. pro oblast duševního vlastnictví (např. zahraniční literatura). </w:t>
      </w:r>
    </w:p>
    <w:p w:rsidR="00847CAD" w:rsidRPr="008257F9" w:rsidRDefault="008257F9" w:rsidP="00847CAD">
      <w:pPr>
        <w:jc w:val="both"/>
      </w:pPr>
      <w:r>
        <w:tab/>
      </w:r>
      <w:r w:rsidR="00847CAD" w:rsidRPr="001B4E61">
        <w:t xml:space="preserve">Sekundárně jsou mezinárodní spolupráce resp. efekty v rámci PRVOUK pravidelně </w:t>
      </w:r>
      <w:r w:rsidR="00847CAD" w:rsidRPr="008257F9">
        <w:t>využívány ve znalecké činnosti Ústavu, neboť Ústav je jako zapsaný znalecký ústav opakovaně soudy a jinými organizacemi žádán o vypracování odborných posudků</w:t>
      </w:r>
      <w:r w:rsidRPr="008257F9">
        <w:t>.</w:t>
      </w:r>
    </w:p>
    <w:p w:rsidR="00847CAD" w:rsidRPr="001B4E61" w:rsidRDefault="008257F9" w:rsidP="008257F9">
      <w:pPr>
        <w:pStyle w:val="Normlnweb"/>
        <w:spacing w:before="0" w:beforeAutospacing="0" w:after="0" w:afterAutospacing="0"/>
        <w:jc w:val="both"/>
      </w:pPr>
      <w:r w:rsidRPr="008257F9">
        <w:tab/>
      </w:r>
      <w:r w:rsidR="00847CAD" w:rsidRPr="008257F9">
        <w:t>PRVOUK</w:t>
      </w:r>
      <w:r w:rsidRPr="008257F9">
        <w:t>05</w:t>
      </w:r>
      <w:r w:rsidR="00847CAD" w:rsidRPr="008257F9">
        <w:t xml:space="preserve"> má dopad rovněž do činnosti Ústavu v oblasti legislativní, neboť Ústav jako takový je již tradičně partnerem vlády při pracích na novelách</w:t>
      </w:r>
      <w:r w:rsidR="00847CAD" w:rsidRPr="001B4E61">
        <w:t xml:space="preserve"> související legislativy, zejména pak Autorského zákona; výstupem zde jsou mj. </w:t>
      </w:r>
      <w:r w:rsidR="00847CAD" w:rsidRPr="001B4E61">
        <w:rPr>
          <w:color w:val="000000"/>
        </w:rPr>
        <w:t xml:space="preserve">připomínky, komentáře, vyjádření, vystoupení na setkáních organizovaných MK ČR včetně pravidelného ročního </w:t>
      </w:r>
      <w:r w:rsidR="00847CAD" w:rsidRPr="001B4E61">
        <w:t>setkání autorskoprávních expertů – např. 5.</w:t>
      </w:r>
      <w:r>
        <w:t xml:space="preserve"> </w:t>
      </w:r>
      <w:r w:rsidR="00847CAD" w:rsidRPr="001B4E61">
        <w:t>12.</w:t>
      </w:r>
      <w:r>
        <w:t xml:space="preserve"> </w:t>
      </w:r>
      <w:r w:rsidR="00847CAD" w:rsidRPr="001B4E61">
        <w:t>2013 či 13.</w:t>
      </w:r>
      <w:r>
        <w:t xml:space="preserve"> </w:t>
      </w:r>
      <w:r w:rsidR="00847CAD" w:rsidRPr="001B4E61">
        <w:t>2.</w:t>
      </w:r>
      <w:r>
        <w:t xml:space="preserve"> </w:t>
      </w:r>
      <w:r w:rsidR="00847CAD" w:rsidRPr="001B4E61">
        <w:t xml:space="preserve">2014. </w:t>
      </w:r>
      <w:r w:rsidR="00847CAD" w:rsidRPr="001B4E61">
        <w:rPr>
          <w:color w:val="000000"/>
        </w:rPr>
        <w:t>Z </w:t>
      </w:r>
      <w:r w:rsidR="00847CAD" w:rsidRPr="00860897">
        <w:rPr>
          <w:color w:val="000000"/>
        </w:rPr>
        <w:t>poslední doby uvádíme</w:t>
      </w:r>
      <w:r w:rsidR="00847CAD" w:rsidRPr="00860897">
        <w:rPr>
          <w:bCs/>
          <w:iCs/>
        </w:rPr>
        <w:t xml:space="preserve"> veřejný seminář týkající se připravované novely autorského zákona</w:t>
      </w:r>
      <w:r w:rsidR="00860897" w:rsidRPr="00860897">
        <w:rPr>
          <w:bCs/>
          <w:iCs/>
        </w:rPr>
        <w:t>, který</w:t>
      </w:r>
      <w:r w:rsidR="00847CAD" w:rsidRPr="001B4E61">
        <w:rPr>
          <w:bCs/>
          <w:iCs/>
        </w:rPr>
        <w:t xml:space="preserve"> proběhl dne 28. 5. 2015 na PF UK</w:t>
      </w:r>
      <w:r w:rsidR="00860897">
        <w:rPr>
          <w:bCs/>
          <w:iCs/>
        </w:rPr>
        <w:t>.</w:t>
      </w:r>
    </w:p>
    <w:p w:rsidR="00847CAD" w:rsidRPr="008257F9" w:rsidRDefault="008257F9" w:rsidP="008257F9">
      <w:pPr>
        <w:pStyle w:val="Normlnweb"/>
        <w:spacing w:before="0" w:beforeAutospacing="0" w:after="0" w:afterAutospacing="0"/>
        <w:jc w:val="both"/>
        <w:rPr>
          <w:bCs/>
          <w:iCs/>
        </w:rPr>
      </w:pPr>
      <w:r>
        <w:tab/>
      </w:r>
      <w:r w:rsidR="00847CAD" w:rsidRPr="008257F9">
        <w:rPr>
          <w:bCs/>
          <w:iCs/>
        </w:rPr>
        <w:t xml:space="preserve">V publikačních výstupech se </w:t>
      </w:r>
      <w:r w:rsidR="00860897">
        <w:rPr>
          <w:bCs/>
          <w:iCs/>
        </w:rPr>
        <w:t xml:space="preserve">členové dílčího týmu </w:t>
      </w:r>
      <w:r w:rsidR="00847CAD" w:rsidRPr="008257F9">
        <w:rPr>
          <w:bCs/>
          <w:iCs/>
        </w:rPr>
        <w:t>v souladu s plány a cíli zaměřili především na každoroční vydání kolektivní monografie Aktuální otázky práva autorského a práv průmyslových, která shrnuje aktuální problematiku duševního vlastnictví. Autorský kolektiv zahrnuje v převážné míře pracovníky našeho ústavu, dále některé doktorandy popř. externí spolupracovníky.</w:t>
      </w:r>
    </w:p>
    <w:p w:rsidR="00847CAD" w:rsidRPr="008257F9" w:rsidRDefault="008257F9" w:rsidP="00847CAD">
      <w:pPr>
        <w:pStyle w:val="Normlnweb"/>
        <w:spacing w:before="0" w:beforeAutospacing="0" w:after="0" w:afterAutospacing="0"/>
        <w:jc w:val="both"/>
        <w:rPr>
          <w:color w:val="000000"/>
        </w:rPr>
      </w:pPr>
      <w:r>
        <w:tab/>
      </w:r>
      <w:r w:rsidR="00847CAD" w:rsidRPr="008257F9">
        <w:t xml:space="preserve">Z bohaté účasti na konferencích v souladu s plánem </w:t>
      </w:r>
      <w:r w:rsidR="00860897">
        <w:t>lze uvést</w:t>
      </w:r>
      <w:r w:rsidR="00847CAD" w:rsidRPr="008257F9">
        <w:t xml:space="preserve"> např. </w:t>
      </w:r>
      <w:r w:rsidR="00847CAD" w:rsidRPr="001B4E61">
        <w:t xml:space="preserve">vědeckou konferenci pořádanou v rámci programů </w:t>
      </w:r>
      <w:r w:rsidR="00847CAD" w:rsidRPr="008257F9">
        <w:t xml:space="preserve">PRVOUK Právnickou fakultou Univerzity Karlovy ve spolupráci se Sekcí pro evropské záležitosti Úřadu vlády ČR, </w:t>
      </w:r>
      <w:r w:rsidR="00847CAD" w:rsidRPr="008257F9">
        <w:rPr>
          <w:bCs/>
        </w:rPr>
        <w:t>Panel II: Soukromoprávní a procesní garance ochrany právního státu a EU, 31.</w:t>
      </w:r>
      <w:r w:rsidRPr="008257F9">
        <w:rPr>
          <w:bCs/>
        </w:rPr>
        <w:t xml:space="preserve"> </w:t>
      </w:r>
      <w:r w:rsidR="00847CAD" w:rsidRPr="008257F9">
        <w:rPr>
          <w:bCs/>
        </w:rPr>
        <w:t>10.</w:t>
      </w:r>
      <w:r w:rsidRPr="008257F9">
        <w:rPr>
          <w:bCs/>
        </w:rPr>
        <w:t xml:space="preserve"> </w:t>
      </w:r>
      <w:r w:rsidR="00847CAD" w:rsidRPr="008257F9">
        <w:rPr>
          <w:bCs/>
        </w:rPr>
        <w:t>2014</w:t>
      </w:r>
      <w:r>
        <w:rPr>
          <w:bCs/>
        </w:rPr>
        <w:t xml:space="preserve"> (</w:t>
      </w:r>
      <w:r w:rsidR="00847CAD" w:rsidRPr="008257F9">
        <w:rPr>
          <w:bCs/>
        </w:rPr>
        <w:t>příspěvek „</w:t>
      </w:r>
      <w:r w:rsidR="00847CAD" w:rsidRPr="008257F9">
        <w:t>Harmonizace duševního vlastnictví a její limity“, T. Dobřichovský</w:t>
      </w:r>
      <w:r>
        <w:t>)</w:t>
      </w:r>
      <w:r w:rsidRPr="008257F9">
        <w:t>;</w:t>
      </w:r>
      <w:r w:rsidR="00847CAD" w:rsidRPr="008257F9">
        <w:t xml:space="preserve"> p</w:t>
      </w:r>
      <w:r w:rsidR="00847CAD" w:rsidRPr="008257F9">
        <w:rPr>
          <w:bCs/>
        </w:rPr>
        <w:t>řednášku na téma: „Současné trendy a nejčastější formy porušování práv k duševnímu vlastnictví, včetně definování možných způsobů vyčíslení škody ”pro Policejní presidium České republiky, 14.</w:t>
      </w:r>
      <w:r w:rsidR="000C5EA1">
        <w:rPr>
          <w:bCs/>
        </w:rPr>
        <w:t xml:space="preserve"> </w:t>
      </w:r>
      <w:r w:rsidR="00847CAD" w:rsidRPr="008257F9">
        <w:rPr>
          <w:bCs/>
        </w:rPr>
        <w:t>10.</w:t>
      </w:r>
      <w:r w:rsidR="000C5EA1">
        <w:rPr>
          <w:bCs/>
        </w:rPr>
        <w:t xml:space="preserve"> </w:t>
      </w:r>
      <w:r w:rsidR="00847CAD" w:rsidRPr="008257F9">
        <w:rPr>
          <w:bCs/>
        </w:rPr>
        <w:t>2014, Solenice, v rámci instrukčně metodického zaměstnání “Trestná činnost proti duševnímu vlastnictví“</w:t>
      </w:r>
      <w:r w:rsidR="000C5EA1">
        <w:rPr>
          <w:bCs/>
        </w:rPr>
        <w:t xml:space="preserve"> (</w:t>
      </w:r>
      <w:r w:rsidR="00847CAD" w:rsidRPr="008257F9">
        <w:t>T. Dobřichovský</w:t>
      </w:r>
      <w:r w:rsidR="000C5EA1">
        <w:t>) a další</w:t>
      </w:r>
      <w:r w:rsidR="00847CAD" w:rsidRPr="008257F9">
        <w:rPr>
          <w:bCs/>
        </w:rPr>
        <w:t>.</w:t>
      </w:r>
      <w:r w:rsidR="00847CAD" w:rsidRPr="008257F9">
        <w:rPr>
          <w:color w:val="000000"/>
        </w:rPr>
        <w:t xml:space="preserve"> </w:t>
      </w:r>
    </w:p>
    <w:p w:rsidR="001332B1" w:rsidRDefault="00860897" w:rsidP="00860897">
      <w:pPr>
        <w:pStyle w:val="Normlnweb"/>
        <w:spacing w:before="0" w:beforeAutospacing="0" w:after="0" w:afterAutospacing="0"/>
        <w:jc w:val="both"/>
      </w:pPr>
      <w:r>
        <w:tab/>
      </w:r>
      <w:r w:rsidRPr="003951E6">
        <w:t xml:space="preserve">Dílčí úkol </w:t>
      </w:r>
      <w:r w:rsidRPr="003951E6">
        <w:rPr>
          <w:b/>
        </w:rPr>
        <w:t>Historicko-právní reflexe soukromého práva</w:t>
      </w:r>
      <w:r w:rsidRPr="003951E6">
        <w:t xml:space="preserve"> (vedoucí dílčího řešitelského týmu prof. Skřejpek)</w:t>
      </w:r>
      <w:r>
        <w:t xml:space="preserve"> akcentoval</w:t>
      </w:r>
      <w:r w:rsidR="001332B1">
        <w:t xml:space="preserve"> průběhu dosavadní realizace programu PRVOUK P05 z hlediska římského práva a právních dějin </w:t>
      </w:r>
      <w:r>
        <w:t>důraz na výzkum</w:t>
      </w:r>
      <w:r w:rsidR="001332B1">
        <w:t xml:space="preserve"> vliv</w:t>
      </w:r>
      <w:r>
        <w:t>ů</w:t>
      </w:r>
      <w:r w:rsidR="001332B1">
        <w:t xml:space="preserve"> historického vývoje na současnou právní úpravu v oblasti soukromého práva. Členové řešitelského kolektivu se například autorsky podíleli na publikaci </w:t>
      </w:r>
      <w:r w:rsidR="001332B1" w:rsidRPr="00222ABB">
        <w:t xml:space="preserve">Viktor Knapp. Vědecké dílo v proměnách času </w:t>
      </w:r>
      <w:r w:rsidR="001332B1">
        <w:t>(</w:t>
      </w:r>
      <w:r>
        <w:t>r</w:t>
      </w:r>
      <w:r w:rsidR="001332B1" w:rsidRPr="00222ABB">
        <w:t>ed. A. Gerloch</w:t>
      </w:r>
      <w:r w:rsidR="001332B1">
        <w:t>, Plzeň 2014) a publikovali celou řadu článků i kapitol v monografiích v zahraničí i v tuzemsku. Za nejdůležitější výstupy lze považovat především vydání druhého dílu ediční řady Fontes iuris romani, a to překlad podsta</w:t>
      </w:r>
      <w:r>
        <w:t>t</w:t>
      </w:r>
      <w:r w:rsidR="001332B1">
        <w:t>ných částí prvních 15 knih Digest (Digesta seu Pandectae, tomus I, liber I – XV, fragmenta selecta) v nakladatelství Karolinum v roce 2015. Dále se jedná o monografie B. Platzerové a</w:t>
      </w:r>
      <w:r>
        <w:t xml:space="preserve"> J</w:t>
      </w:r>
      <w:r w:rsidR="001332B1">
        <w:t xml:space="preserve">. Šejdla. </w:t>
      </w:r>
    </w:p>
    <w:p w:rsidR="001332B1" w:rsidRPr="00645492" w:rsidRDefault="001332B1" w:rsidP="001332B1">
      <w:pPr>
        <w:ind w:firstLine="851"/>
        <w:jc w:val="both"/>
      </w:pPr>
      <w:r>
        <w:t>Podstatná část aktivit byla zaměřena na prezentaci výsledků vědecké činnosti na domácích, ale především na mezinárodních konferencích</w:t>
      </w:r>
    </w:p>
    <w:p w:rsidR="001332B1" w:rsidRDefault="001332B1" w:rsidP="001332B1">
      <w:pPr>
        <w:ind w:firstLine="851"/>
        <w:jc w:val="both"/>
      </w:pPr>
      <w:r>
        <w:t xml:space="preserve">Celkově lze konstatovat, že úroveň kvality vědecké práce v národním, ale především v mezinárodním měřítku podstatně stoupla. V této souvislosti je třeba říci, že ve sledované době výrazným způsobem vzrostla také prezentace i prestiž oboru v mezinárodním měřítku. Jedná se především o pravidelné účasti na celosvětových kongresech Société „Fernand de Visscher“ pour l'Histoire des Droits de L'Antiquité a na každoročních mezinárodních konferencích Diritto romano e attualità, kde jsou všemi zúčastněnými vždy přednášeny referáty, ale i na dalších mezinárodních vědeckých akcích. Kromě toho je prof. Skřejpek členem nejen jedním ze zakladatelů konferencí Diritto romano e attualità, ale také členem </w:t>
      </w:r>
      <w:r>
        <w:lastRenderedPageBreak/>
        <w:t>jeho stálého vědeckého výboru. Kromě toho je členem vědeckých rad zahraničních odborných časopisů: Orbis iuris romani (Slovensko), Aurea (Bulharsko), Ius antiquum (Rusko), Zeszyty prawnicze (Polsko) a členem vědecké rady časopisu Fundamina (Jihoafrická republika).</w:t>
      </w:r>
    </w:p>
    <w:p w:rsidR="001332B1" w:rsidRDefault="00860897" w:rsidP="00847CAD">
      <w:pPr>
        <w:jc w:val="both"/>
        <w:rPr>
          <w:b/>
        </w:rPr>
      </w:pPr>
      <w:r>
        <w:rPr>
          <w:b/>
        </w:rPr>
        <w:tab/>
      </w:r>
      <w:r w:rsidRPr="00FD106E">
        <w:t xml:space="preserve">V rámci dílčího úkolu </w:t>
      </w:r>
      <w:r w:rsidRPr="00837CB9">
        <w:rPr>
          <w:b/>
        </w:rPr>
        <w:t>Vybrané instituty soukromého práva</w:t>
      </w:r>
      <w:r w:rsidRPr="00FD106E">
        <w:t xml:space="preserve"> </w:t>
      </w:r>
      <w:r>
        <w:t xml:space="preserve">řešeného nepedagogickým pracovištěm Centrum právní komparatistiky </w:t>
      </w:r>
      <w:r w:rsidRPr="00FD106E">
        <w:t>(vedoucí dílčího řešitelského týmu prof. Tichý</w:t>
      </w:r>
      <w:r>
        <w:t xml:space="preserve">) lze s poukazem na </w:t>
      </w:r>
      <w:r w:rsidR="001332B1" w:rsidRPr="00980974">
        <w:t> dosavadní zpráv</w:t>
      </w:r>
      <w:r>
        <w:t>y</w:t>
      </w:r>
      <w:r w:rsidR="001332B1" w:rsidRPr="00980974">
        <w:t xml:space="preserve"> a další přehled</w:t>
      </w:r>
      <w:r>
        <w:t>y</w:t>
      </w:r>
      <w:r w:rsidR="001332B1" w:rsidRPr="00980974">
        <w:t xml:space="preserve"> </w:t>
      </w:r>
      <w:r>
        <w:t>konstatovat</w:t>
      </w:r>
      <w:r w:rsidR="001332B1" w:rsidRPr="00980974">
        <w:t xml:space="preserve">, že CPK uskutečňuje poměrně velmi úspěšně své úkoly obsažené ve svém programu, a to v jeho hlavních oblastech soukromého práva s důrazem na odpovědnost za škodu, prevenci, pojem škody, odpovědnosti za výkon veřejné moci a odpovědnosti za vady. V průběhu let 2012 až 2015 zorganizovalo CPK celkem 5 mezinárodních konferenci a 32 seminářů (fór CPK) na tato témata a byly vydány dvě knihy a několik studií. Dalšími tématy byl fenomén trustu a obdobných jevů, které se CPK věnovalo na celkem 3 mezinárodních konferencích. Jinou problematikou byla ochrana spotřebitele, které se věnovaly 2 mezinárodní konference a k tomuto tématu byly vydány 2 knihy a několik článků s autorstvím členů CPK. </w:t>
      </w:r>
      <w:r w:rsidR="001332B1">
        <w:t>Další</w:t>
      </w:r>
      <w:r w:rsidR="001332B1" w:rsidRPr="00980974">
        <w:t xml:space="preserve"> problematikou byla otázka kolektivní ochrany procesních práv, které se věnovala 1 mezinárodní konference, o níž publikovali 2 členové CPK základní příspěvek s návrhem na úpravu tohoto institutu v českém právním řádu. Trvalou pozornost věnuje CPK zásadním změnám v českém občanském právu, zejména v občanském zákonu, kterémužto fenoménu byly věnovány 2 mezinárodní konference a celá řada jednotlivých příspěvků.</w:t>
      </w:r>
    </w:p>
    <w:p w:rsidR="003371C3" w:rsidRDefault="003371C3" w:rsidP="00860897">
      <w:pPr>
        <w:jc w:val="both"/>
        <w:rPr>
          <w:b/>
        </w:rPr>
      </w:pPr>
    </w:p>
    <w:p w:rsidR="00860897" w:rsidRPr="003371C3" w:rsidRDefault="00860897" w:rsidP="00860897">
      <w:pPr>
        <w:jc w:val="both"/>
        <w:rPr>
          <w:b/>
        </w:rPr>
      </w:pPr>
      <w:r>
        <w:rPr>
          <w:b/>
        </w:rPr>
        <w:tab/>
      </w:r>
      <w:r w:rsidRPr="003371C3">
        <w:rPr>
          <w:b/>
        </w:rPr>
        <w:t>K cílům programu P05 patří především [srov. část h) a j) přihlášky]</w:t>
      </w:r>
      <w:r w:rsidR="003371C3" w:rsidRPr="003371C3">
        <w:rPr>
          <w:b/>
        </w:rPr>
        <w:t>:</w:t>
      </w:r>
    </w:p>
    <w:p w:rsidR="003371C3" w:rsidRDefault="003371C3" w:rsidP="00847CAD">
      <w:pPr>
        <w:jc w:val="both"/>
        <w:rPr>
          <w:b/>
        </w:rPr>
      </w:pPr>
    </w:p>
    <w:p w:rsidR="003371C3" w:rsidRDefault="003371C3" w:rsidP="00847CAD">
      <w:pPr>
        <w:jc w:val="both"/>
      </w:pPr>
      <w:r>
        <w:rPr>
          <w:b/>
        </w:rPr>
        <w:t xml:space="preserve">1) Komplexní zkoumání soukromého </w:t>
      </w:r>
      <w:r w:rsidRPr="003371C3">
        <w:rPr>
          <w:b/>
        </w:rPr>
        <w:t>práva, všech „částí“ soukromého práva, tj. z hlediska obecného práva občanského, práva obchodního, rodinného, pracovního, autorského, mezinárodního práva soukromého</w:t>
      </w:r>
      <w:r w:rsidRPr="003371C3">
        <w:rPr>
          <w:b/>
          <w:color w:val="FF00FF"/>
        </w:rPr>
        <w:t xml:space="preserve"> </w:t>
      </w:r>
      <w:r w:rsidRPr="003371C3">
        <w:rPr>
          <w:b/>
        </w:rPr>
        <w:t>a v řadě zdaleka ne poslední i příslušná (především tedy dostatečná), ale též občanského práva procesního.</w:t>
      </w:r>
    </w:p>
    <w:p w:rsidR="003371C3" w:rsidRDefault="003371C3" w:rsidP="00847CAD">
      <w:pPr>
        <w:jc w:val="both"/>
      </w:pPr>
      <w:r>
        <w:tab/>
        <w:t xml:space="preserve">Z výše uvedeného přehledu plnění dílčích úkolů lze snad přesvědčivě vyvodit, že co do rozsahu zkoumané problematiky se podařilo cíl naplnit, když žádné „dílčí odvětví“ nezůstalo stranou pozornosti řešitelů. </w:t>
      </w:r>
    </w:p>
    <w:p w:rsidR="003371C3" w:rsidRDefault="003371C3" w:rsidP="00847CAD">
      <w:pPr>
        <w:jc w:val="both"/>
      </w:pPr>
    </w:p>
    <w:p w:rsidR="003371C3" w:rsidRPr="003371C3" w:rsidRDefault="003371C3" w:rsidP="00847CAD">
      <w:pPr>
        <w:jc w:val="both"/>
        <w:rPr>
          <w:b/>
        </w:rPr>
      </w:pPr>
      <w:r w:rsidRPr="003371C3">
        <w:rPr>
          <w:b/>
        </w:rPr>
        <w:t xml:space="preserve">2) Podrobná analýza </w:t>
      </w:r>
      <w:r w:rsidRPr="007E76D4">
        <w:rPr>
          <w:b/>
        </w:rPr>
        <w:t xml:space="preserve">nejasných otázek, </w:t>
      </w:r>
      <w:r w:rsidR="007E76D4" w:rsidRPr="007E76D4">
        <w:rPr>
          <w:b/>
        </w:rPr>
        <w:t xml:space="preserve">jakož i nových, resp. obnovených soukromoprávních institutů </w:t>
      </w:r>
      <w:r w:rsidRPr="003371C3">
        <w:rPr>
          <w:b/>
        </w:rPr>
        <w:t>objasňování smyslu a podstaty nových konstrukcí, usilování o smysluplnou a spravedlivou interpretaci nových pojmů, a v neposlední řadě na bázi komparativních analýz hledání souvislostí právních institutů i v zahraničních právních řádech (právní komparace)</w:t>
      </w:r>
    </w:p>
    <w:p w:rsidR="003371C3" w:rsidRDefault="003371C3" w:rsidP="00847CAD">
      <w:pPr>
        <w:jc w:val="both"/>
      </w:pPr>
      <w:r w:rsidRPr="003371C3">
        <w:tab/>
      </w:r>
      <w:r>
        <w:t>Na základě výše uvedeného – a především na základě přehledů významných výstupů uvedených v této zprávě, jakož i ve zprávách dřívějších, lze rovněž konstatovat, že také tento cíl se dařilo napl</w:t>
      </w:r>
      <w:r w:rsidR="007E76D4">
        <w:t>ňovat</w:t>
      </w:r>
      <w:r>
        <w:t xml:space="preserve"> – zde je třeba připomenout především řadu odborné komentářové literatury, která se systematicky zaměřuje právě na interpretaci (obtížných) míst zákonného textu – takže ač to nevyplývá např. z metodiky RIV, lze tvorbu těchto výstupů považovat po stránce odborné náročnosti za jednu z nejobtížnějších disciplín právních textů, kladoucích zvýšené nároky na odbornou erudici autorů.</w:t>
      </w:r>
    </w:p>
    <w:p w:rsidR="003371C3" w:rsidRPr="003371C3" w:rsidRDefault="003371C3" w:rsidP="00847CAD">
      <w:pPr>
        <w:jc w:val="both"/>
      </w:pPr>
    </w:p>
    <w:p w:rsidR="00F82234" w:rsidRDefault="007E76D4" w:rsidP="00847CAD">
      <w:pPr>
        <w:jc w:val="both"/>
        <w:rPr>
          <w:b/>
        </w:rPr>
      </w:pPr>
      <w:r>
        <w:rPr>
          <w:b/>
        </w:rPr>
        <w:t>3) Posílení mezinárodního prvku výzkumu</w:t>
      </w:r>
      <w:r w:rsidR="00F82234">
        <w:rPr>
          <w:b/>
        </w:rPr>
        <w:t xml:space="preserve"> –</w:t>
      </w:r>
      <w:r>
        <w:rPr>
          <w:b/>
        </w:rPr>
        <w:t xml:space="preserve"> právní komparace</w:t>
      </w:r>
    </w:p>
    <w:p w:rsidR="007E76D4" w:rsidRDefault="007E76D4" w:rsidP="00847CAD">
      <w:pPr>
        <w:jc w:val="both"/>
      </w:pPr>
      <w:r w:rsidRPr="007E76D4">
        <w:tab/>
        <w:t>J</w:t>
      </w:r>
      <w:r>
        <w:t xml:space="preserve">ak v této zprávě, tak i v předchozích zprávách, je uvedena řada výstupů, které jako hlavní metodu užívají metodu právní komparace. Jde zejména o výstupy dílčích týmů Centra právní komparatistiky a mezinárodního práva soukromého, kde je metoda komparace primární již z povahy jejich oborového zaměření, ale i dalších. Komparační metoda je ovšem používána napříč dílčími týmy. Je třeba uvést, že bez podpory programu P05 by nebylo možné tak intenzivní využití této metody a už vůbec by nebylo možné její plnohodnotné </w:t>
      </w:r>
      <w:r>
        <w:lastRenderedPageBreak/>
        <w:t>zpřístupnění tolika vědeckým pracovníkům: bez masivní finanční podpory, která byla v rozpočtu programu vyčleněna právě na mezinárodní spolupráci, jakož i na nákupy (zahraniční literatury či elektronických databází i jiných on-line zdrojů), by bylo nutno vystačit s podstatně skromnějšími zdroji, lze dokonce říci, že nákupy některé zásadní literatury evropského významu by vůbec nemohly být realizovány.</w:t>
      </w:r>
      <w:r w:rsidR="00F82234">
        <w:t xml:space="preserve"> Z této zprávy, jakož i ze zpráv předchozích snad přesvědčivě vyplývá, že tato metoda byla během výzkumu mimořádně hojně užívána.</w:t>
      </w:r>
    </w:p>
    <w:p w:rsidR="00F82234" w:rsidRDefault="00F82234" w:rsidP="00847CAD">
      <w:pPr>
        <w:jc w:val="both"/>
      </w:pPr>
    </w:p>
    <w:p w:rsidR="00F82234" w:rsidRDefault="00F82234" w:rsidP="00847CAD">
      <w:pPr>
        <w:jc w:val="both"/>
      </w:pPr>
      <w:r w:rsidRPr="00F82234">
        <w:rPr>
          <w:b/>
        </w:rPr>
        <w:t>4) P</w:t>
      </w:r>
      <w:r>
        <w:rPr>
          <w:b/>
        </w:rPr>
        <w:t>osílení mezinárodní spolupráce s dalšími pracovišti, prezentace na zahraničních konferencích</w:t>
      </w:r>
    </w:p>
    <w:p w:rsidR="003371C3" w:rsidRPr="007E76D4" w:rsidRDefault="007E76D4" w:rsidP="00847CAD">
      <w:pPr>
        <w:jc w:val="both"/>
      </w:pPr>
      <w:r>
        <w:tab/>
        <w:t>Stejně tak by bez podpory programu P05 nebyla možná plnohodnotná a důstojná participace členů programu na tolika prestižních vědeckých konferencích, fórech</w:t>
      </w:r>
      <w:r w:rsidR="00F82234">
        <w:t>, ani jejich účast v mnoha mezinárodních institucích (zde je třeba uvést, že nejde ani tak o náklady spojené s dopravou či ubytováním v zahraničí, které navíc předním představitelům naší soukromoprávní doktríny mnohdy proplatí hostitelská instituce, ale jde zejména o platby členských a účastnických poplatků, které jsou vzhledem k evropské prestiži těchto institucí mnohdy značně vysoké). Rovněž tento faktor, který příznivě ovlivňuje kvalitu výzkumu, se během uskutečňování programu podařilo posílit.</w:t>
      </w:r>
    </w:p>
    <w:p w:rsidR="003371C3" w:rsidRDefault="003371C3" w:rsidP="00847CAD">
      <w:pPr>
        <w:jc w:val="both"/>
        <w:rPr>
          <w:b/>
        </w:rPr>
      </w:pPr>
    </w:p>
    <w:p w:rsidR="00F82234" w:rsidRDefault="00F82234" w:rsidP="00847CAD">
      <w:pPr>
        <w:jc w:val="both"/>
        <w:rPr>
          <w:b/>
        </w:rPr>
      </w:pPr>
      <w:r>
        <w:rPr>
          <w:b/>
        </w:rPr>
        <w:t>5) Posílení kvality publikační činnosti</w:t>
      </w:r>
    </w:p>
    <w:p w:rsidR="003371C3" w:rsidRPr="00F82234" w:rsidRDefault="00F82234" w:rsidP="00847CAD">
      <w:pPr>
        <w:jc w:val="both"/>
      </w:pPr>
      <w:r w:rsidRPr="00F82234">
        <w:tab/>
      </w:r>
      <w:r>
        <w:t xml:space="preserve">V tomto ohledu je třeba poukázat na celkové plnění již předchozích dílčích úkolů: jejich úspěšné plnění totiž působí zcela zákonitě právě posílení publikační činnosti, a to jak co do četnosti, tak co do kvality výstupů. V tomto ohledu lze odkázat na množství výstupů uvedených již výše i níže v této zprávě, jakož i na zprávy předchozí. Je ovšem třeba poznamenat, že především v oblasti zahraničních cizojazyčných publikací nebyly výsledky </w:t>
      </w:r>
      <w:r w:rsidR="006A2F7B">
        <w:t>uspokojivé v prvních dvou letech uskutečňování programu (2012, 2013), což bylo zcela oprávněně uvedeno také v posudku bilanční zprávy pro rok 2013. Je to ovšem dáno stále přetrvávajícím nacionálním charakterem právních řádů; ovšem i přes tuto objektivní vstupní nevýhodu se podařilo ve druhé polovině uskutečňování programu (počínaje rokem 2014) tuto část publikační činnosti značně posílit. Jak bylo ostatně uvedeno již v reflexi této oponentní připomínky v průběžné zprávě za rok 2014, řešitelé usilovali o publikaci svých výstupů také v zahraničí, ale vzhledem k tomu, že proces publikace v zahraničních nakladatelstvích je časově náročný, byly mnohé výstupy připravené v letech 2012 a 2013 publikovány právě v roce 2014. Vše nasvědčuje tomu, že pozitivní trend započatý v roce 2014 bude pokračovat i v roce 2015 (a i v roce 2016), takže celkově bude možno také tento cíl – a to i v rámci této dílčí výseče publikační činnosti – považovat za splněný.</w:t>
      </w:r>
    </w:p>
    <w:p w:rsidR="00F82234" w:rsidRPr="003371C3" w:rsidRDefault="00F82234" w:rsidP="00847CAD">
      <w:pPr>
        <w:jc w:val="both"/>
        <w:rPr>
          <w:b/>
        </w:rPr>
      </w:pPr>
    </w:p>
    <w:p w:rsidR="003371C3" w:rsidRPr="00F82234" w:rsidRDefault="00F82234" w:rsidP="00847CAD">
      <w:pPr>
        <w:jc w:val="both"/>
        <w:rPr>
          <w:b/>
        </w:rPr>
      </w:pPr>
      <w:r>
        <w:rPr>
          <w:b/>
        </w:rPr>
        <w:t>6</w:t>
      </w:r>
      <w:r w:rsidRPr="00F82234">
        <w:rPr>
          <w:b/>
        </w:rPr>
        <w:t xml:space="preserve">) Jako souhrnný a hlavní cíl programu je možno z přihlášky dovodit </w:t>
      </w:r>
      <w:r w:rsidR="003371C3" w:rsidRPr="00F82234">
        <w:rPr>
          <w:b/>
        </w:rPr>
        <w:t>úkol vybudovat základy nové privatistické doktríny</w:t>
      </w:r>
      <w:r w:rsidRPr="00F82234">
        <w:rPr>
          <w:b/>
        </w:rPr>
        <w:t xml:space="preserve">, </w:t>
      </w:r>
      <w:r w:rsidR="003371C3" w:rsidRPr="00F82234">
        <w:rPr>
          <w:b/>
        </w:rPr>
        <w:t>dát impulsy de lege ferenda a rovněž přinést potřebné nástiny doktrinálních východisek s přímým dopadem na výklad jednotlivých institutů soukromého práva</w:t>
      </w:r>
      <w:r w:rsidRPr="00F82234">
        <w:rPr>
          <w:b/>
        </w:rPr>
        <w:t xml:space="preserve"> a napomoci tak</w:t>
      </w:r>
      <w:r w:rsidR="003371C3" w:rsidRPr="00F82234">
        <w:rPr>
          <w:b/>
        </w:rPr>
        <w:t xml:space="preserve"> k větší konsolidaci judikatury a nauky</w:t>
      </w:r>
      <w:r w:rsidRPr="00F82234">
        <w:rPr>
          <w:b/>
        </w:rPr>
        <w:t>.</w:t>
      </w:r>
    </w:p>
    <w:p w:rsidR="003371C3" w:rsidRDefault="00DD0B3F" w:rsidP="00847CAD">
      <w:pPr>
        <w:jc w:val="both"/>
      </w:pPr>
      <w:r>
        <w:tab/>
        <w:t>Zde je třeba rovněž poukázat na množství a rozsah základních výstupů z programu P05 (srov. již výše a níže, jakož i předchozí průběžné a bilanční zprávy). Nejen oblast obecného občanského práva, ale všechny další dílčí obory (právo obchodní, pracovní, rodinné</w:t>
      </w:r>
      <w:r w:rsidR="00372A04">
        <w:t xml:space="preserve"> atd.) byly díky důkladnému výzkumu, na němž mohl díky podpoře programu P05 participovat neobvykle velký počet členů – předních tuzemských odborníků – podrobně zkoumány a výsledky výzkumu byly systematicky publikovány napříč všemi žánry odborné právnické literatury: nezbývá, než znovu poukázat na množství učebnic, komentářů, monografií, odborných studií i kratších statí, které lze právem považovat za základ nastupující privatistické doktríny po rekodifikaci soukromého práva. Realizovat takové množství </w:t>
      </w:r>
      <w:r w:rsidR="00372A04">
        <w:lastRenderedPageBreak/>
        <w:t xml:space="preserve">výstupů, v takové rozmanitosti a při tom vždy co možná ve vysoké kvalitě (srov. výše různá ocenění publikovaných výstupů) by bez podpory programu P05 nebylo vůbec možné. Nejde zde jen o podporu finanční, ale také o podporu organizační – právě strukturování velkého počtu řešitelů do dílčích týmů, při čemž každý dílčí tým je v radě programu zastoupen svým vedoucím, se ukázalo jako mimořádně přínosné a plodné, podporující rozvoj vzájemných odborných i kolegiálních vazeb mezi členy týmů, </w:t>
      </w:r>
      <w:r w:rsidR="0065148F">
        <w:t>silně motivovalo</w:t>
      </w:r>
      <w:r w:rsidR="00372A04">
        <w:t xml:space="preserve"> </w:t>
      </w:r>
      <w:r w:rsidR="0065148F">
        <w:t>všechny řešitele</w:t>
      </w:r>
      <w:r w:rsidR="00372A04">
        <w:t xml:space="preserve"> sdílet dílčí poznatky s dalšími členy týmu a </w:t>
      </w:r>
      <w:r w:rsidR="0065148F">
        <w:t xml:space="preserve">rovněž </w:t>
      </w:r>
      <w:r w:rsidR="00372A04">
        <w:t>prezentovat poznatky společně také navenek, ať už při výuce či na konferencích.</w:t>
      </w:r>
    </w:p>
    <w:p w:rsidR="003371C3" w:rsidRPr="0065148F" w:rsidRDefault="003371C3" w:rsidP="00847CAD">
      <w:pPr>
        <w:jc w:val="both"/>
      </w:pPr>
    </w:p>
    <w:p w:rsidR="007363A8" w:rsidRDefault="00097D74" w:rsidP="000212A1">
      <w:pPr>
        <w:keepNext/>
        <w:jc w:val="both"/>
        <w:rPr>
          <w:b/>
        </w:rPr>
      </w:pPr>
      <w:r>
        <w:rPr>
          <w:b/>
        </w:rPr>
        <w:t>B.2</w:t>
      </w:r>
    </w:p>
    <w:p w:rsidR="00097D74" w:rsidRDefault="00097D74" w:rsidP="000212A1">
      <w:pPr>
        <w:keepNext/>
        <w:jc w:val="both"/>
        <w:rPr>
          <w:b/>
        </w:rPr>
      </w:pPr>
      <w:r>
        <w:rPr>
          <w:b/>
        </w:rPr>
        <w:t>Nejvýznamnější výsledky vytvořené v dosavadním průběhu realizace programu</w:t>
      </w:r>
    </w:p>
    <w:p w:rsidR="00097D74" w:rsidRPr="00C236A3" w:rsidRDefault="00097D74" w:rsidP="000212A1">
      <w:pPr>
        <w:keepNext/>
        <w:jc w:val="both"/>
        <w:rPr>
          <w:i/>
          <w:sz w:val="22"/>
          <w:szCs w:val="22"/>
        </w:rPr>
      </w:pPr>
      <w:r w:rsidRPr="00C236A3">
        <w:rPr>
          <w:i/>
          <w:sz w:val="22"/>
          <w:szCs w:val="22"/>
        </w:rPr>
        <w:t>Uveďte 5–10 výsledků.</w:t>
      </w:r>
    </w:p>
    <w:p w:rsidR="00620033" w:rsidRDefault="00620033" w:rsidP="00097D74">
      <w:pPr>
        <w:jc w:val="both"/>
        <w:rPr>
          <w:b/>
        </w:rPr>
      </w:pPr>
    </w:p>
    <w:p w:rsidR="00097D74" w:rsidRDefault="00620033" w:rsidP="00097D74">
      <w:pPr>
        <w:jc w:val="both"/>
      </w:pPr>
      <w:r w:rsidRPr="00620033">
        <w:rPr>
          <w:b/>
        </w:rPr>
        <w:t>* / Pozn. další významné výstupy, zejm. cizojazyčné, jsou uvedeny přímo v textu zprávy v částech A1, A3 a B1.</w:t>
      </w:r>
    </w:p>
    <w:p w:rsidR="00620033" w:rsidRDefault="00620033" w:rsidP="00097D74">
      <w:pPr>
        <w:jc w:val="both"/>
      </w:pPr>
    </w:p>
    <w:p w:rsidR="00C04D76" w:rsidRDefault="00620033" w:rsidP="00097D74">
      <w:pPr>
        <w:jc w:val="both"/>
      </w:pPr>
      <w:r>
        <w:t>1</w:t>
      </w:r>
      <w:r w:rsidR="00C04D76">
        <w:t xml:space="preserve">) </w:t>
      </w:r>
      <w:r w:rsidRPr="00972E1B">
        <w:t>Švest</w:t>
      </w:r>
      <w:r>
        <w:t>k</w:t>
      </w:r>
      <w:r w:rsidRPr="00972E1B">
        <w:t xml:space="preserve">a, J.; Dvořák. J.; Fiala, </w:t>
      </w:r>
      <w:r>
        <w:t>J</w:t>
      </w:r>
      <w:r w:rsidRPr="00972E1B">
        <w:t xml:space="preserve">. a kol: </w:t>
      </w:r>
      <w:r w:rsidRPr="00620033">
        <w:rPr>
          <w:i/>
        </w:rPr>
        <w:t>Občanský zákoník. Komentář. Svazek I až VI.</w:t>
      </w:r>
      <w:r w:rsidRPr="00972E1B">
        <w:t xml:space="preserve"> Praha: Wolters Kluwer, a. s., 2014, ISBN 978-80-7478-369-2, celkem 7752 stran</w:t>
      </w:r>
      <w:r>
        <w:t>.</w:t>
      </w:r>
    </w:p>
    <w:p w:rsidR="00C04D76" w:rsidRDefault="00C04D76" w:rsidP="00097D74">
      <w:pPr>
        <w:jc w:val="both"/>
      </w:pPr>
    </w:p>
    <w:p w:rsidR="00EB4F0D" w:rsidRDefault="00620033" w:rsidP="00EB4F0D">
      <w:pPr>
        <w:jc w:val="both"/>
      </w:pPr>
      <w:r>
        <w:t>2</w:t>
      </w:r>
      <w:r w:rsidR="00EB4F0D">
        <w:t xml:space="preserve">) </w:t>
      </w:r>
      <w:r>
        <w:t xml:space="preserve">Winterová, A.; Macková, A.: </w:t>
      </w:r>
      <w:r w:rsidRPr="00620033">
        <w:rPr>
          <w:i/>
        </w:rPr>
        <w:t>Civilní právo procesní. 1. a 2. část.</w:t>
      </w:r>
      <w:r>
        <w:t xml:space="preserve"> Praha: Leges, 2014, 2015. ISBN 978-80-7502-076-5, 978-80-7502-077-2, celkem 976 stran.</w:t>
      </w:r>
    </w:p>
    <w:p w:rsidR="00EB4F0D" w:rsidRDefault="00EB4F0D" w:rsidP="00EB4F0D">
      <w:pPr>
        <w:jc w:val="both"/>
      </w:pPr>
    </w:p>
    <w:p w:rsidR="00EB4F0D" w:rsidRDefault="00620033" w:rsidP="00EB4F0D">
      <w:pPr>
        <w:jc w:val="both"/>
      </w:pPr>
      <w:r>
        <w:t>3</w:t>
      </w:r>
      <w:r w:rsidR="00EB4F0D">
        <w:t xml:space="preserve">) </w:t>
      </w:r>
      <w:r w:rsidR="00475D9D" w:rsidRPr="00EB4F0D">
        <w:t xml:space="preserve">Černá, S., Štenglová I., Pelikánová, I. a kolektiv: </w:t>
      </w:r>
      <w:r w:rsidR="00475D9D" w:rsidRPr="008829C5">
        <w:rPr>
          <w:i/>
        </w:rPr>
        <w:t>Právo obchodních korporací.</w:t>
      </w:r>
      <w:r w:rsidR="00475D9D" w:rsidRPr="00EB4F0D">
        <w:t xml:space="preserve"> Wolters Kluwer 2015, 640</w:t>
      </w:r>
      <w:r w:rsidR="00475D9D">
        <w:t xml:space="preserve"> </w:t>
      </w:r>
      <w:r w:rsidR="00475D9D" w:rsidRPr="00EB4F0D">
        <w:t>s.</w:t>
      </w:r>
      <w:r w:rsidR="00C04D76">
        <w:t xml:space="preserve"> ISBN 978-80-7478-735-5.</w:t>
      </w:r>
    </w:p>
    <w:p w:rsidR="00EB4F0D" w:rsidRDefault="00EB4F0D" w:rsidP="00EB4F0D">
      <w:pPr>
        <w:jc w:val="both"/>
      </w:pPr>
    </w:p>
    <w:p w:rsidR="00EB4F0D" w:rsidRDefault="00620033" w:rsidP="00EB4F0D">
      <w:pPr>
        <w:jc w:val="both"/>
      </w:pPr>
      <w:r>
        <w:t>4</w:t>
      </w:r>
      <w:r w:rsidR="00EB4F0D">
        <w:t xml:space="preserve">) </w:t>
      </w:r>
      <w:r w:rsidR="00475D9D">
        <w:rPr>
          <w:color w:val="000000"/>
        </w:rPr>
        <w:t xml:space="preserve">Hurychová, K.; Borsík, D. et al. </w:t>
      </w:r>
      <w:r w:rsidR="00475D9D">
        <w:rPr>
          <w:i/>
          <w:color w:val="000000"/>
        </w:rPr>
        <w:t xml:space="preserve">Corporate governance: kolektivní monografie. </w:t>
      </w:r>
      <w:r w:rsidR="00475D9D">
        <w:rPr>
          <w:color w:val="000000"/>
        </w:rPr>
        <w:t>Vyd. 1. Praha: Wolters Kluwer, 2015, 279 s.</w:t>
      </w:r>
      <w:r w:rsidR="00C04D76">
        <w:rPr>
          <w:color w:val="000000"/>
        </w:rPr>
        <w:t xml:space="preserve"> ISBN 978-8-0747865-4-9</w:t>
      </w:r>
    </w:p>
    <w:p w:rsidR="00EB4F0D" w:rsidRDefault="00EB4F0D" w:rsidP="00EB4F0D">
      <w:pPr>
        <w:jc w:val="both"/>
      </w:pPr>
    </w:p>
    <w:p w:rsidR="00EB4F0D" w:rsidRDefault="00620033" w:rsidP="00EB4F0D">
      <w:pPr>
        <w:jc w:val="both"/>
      </w:pPr>
      <w:r>
        <w:t>5</w:t>
      </w:r>
      <w:r w:rsidR="00EB4F0D">
        <w:t xml:space="preserve">) </w:t>
      </w:r>
      <w:r w:rsidR="00475D9D" w:rsidRPr="00F4222A">
        <w:rPr>
          <w:lang w:val="en-US"/>
        </w:rPr>
        <w:t>Pauknerová, M</w:t>
      </w:r>
      <w:r w:rsidR="00475D9D">
        <w:rPr>
          <w:lang w:val="en-US"/>
        </w:rPr>
        <w:t>.;</w:t>
      </w:r>
      <w:r w:rsidR="00475D9D" w:rsidRPr="00F4222A">
        <w:rPr>
          <w:lang w:val="en-US"/>
        </w:rPr>
        <w:t xml:space="preserve">  P</w:t>
      </w:r>
      <w:r w:rsidR="00475D9D">
        <w:rPr>
          <w:lang w:val="en-US"/>
        </w:rPr>
        <w:t>feiffer</w:t>
      </w:r>
      <w:r w:rsidR="00475D9D" w:rsidRPr="00F4222A">
        <w:rPr>
          <w:lang w:val="en-US"/>
        </w:rPr>
        <w:t>, M.</w:t>
      </w:r>
      <w:r w:rsidR="00475D9D">
        <w:rPr>
          <w:lang w:val="en-US"/>
        </w:rPr>
        <w:t>:</w:t>
      </w:r>
      <w:r w:rsidR="00475D9D" w:rsidRPr="00F4222A">
        <w:rPr>
          <w:lang w:val="en-US"/>
        </w:rPr>
        <w:t xml:space="preserve"> </w:t>
      </w:r>
      <w:r w:rsidR="00937055">
        <w:rPr>
          <w:lang w:val="en-US"/>
        </w:rPr>
        <w:t xml:space="preserve">The </w:t>
      </w:r>
      <w:r w:rsidR="00475D9D" w:rsidRPr="00A20D03">
        <w:rPr>
          <w:lang w:val="en-US"/>
        </w:rPr>
        <w:t xml:space="preserve">New Act on Private International Law in the Czech Republic: Starting Points and Perspectives within the European Union. </w:t>
      </w:r>
      <w:r w:rsidR="00475D9D" w:rsidRPr="00A20D03">
        <w:rPr>
          <w:i/>
          <w:lang w:val="en-US"/>
        </w:rPr>
        <w:t>Journal of Private International Law</w:t>
      </w:r>
      <w:r w:rsidR="00475D9D" w:rsidRPr="00A20D03">
        <w:rPr>
          <w:lang w:val="en-US"/>
        </w:rPr>
        <w:t>. Volume 10, Number 2, 2014, s. 205-226</w:t>
      </w:r>
      <w:r w:rsidR="00937055">
        <w:rPr>
          <w:lang w:val="en-US"/>
        </w:rPr>
        <w:t>. ISSN 1744-1048.</w:t>
      </w:r>
    </w:p>
    <w:p w:rsidR="00EB4F0D" w:rsidRDefault="00EB4F0D" w:rsidP="00EB4F0D">
      <w:pPr>
        <w:jc w:val="both"/>
      </w:pPr>
    </w:p>
    <w:p w:rsidR="00475D9D" w:rsidRDefault="00620033" w:rsidP="00475D9D">
      <w:pPr>
        <w:jc w:val="both"/>
      </w:pPr>
      <w:r>
        <w:t>6</w:t>
      </w:r>
      <w:r w:rsidR="00EB4F0D">
        <w:t xml:space="preserve">) </w:t>
      </w:r>
      <w:r w:rsidR="00475D9D" w:rsidRPr="001F7F71">
        <w:t xml:space="preserve">Pichrt, J. a kol.: </w:t>
      </w:r>
      <w:r w:rsidR="00475D9D" w:rsidRPr="00951B53">
        <w:rPr>
          <w:i/>
        </w:rPr>
        <w:t>Agenturní zaměstnávání v komplexních souvislostech</w:t>
      </w:r>
      <w:r w:rsidR="00475D9D" w:rsidRPr="001F7F71">
        <w:t>. Praha: C. H. Beck, 2013, s. 375</w:t>
      </w:r>
      <w:r w:rsidR="00954260">
        <w:t>.</w:t>
      </w:r>
      <w:r w:rsidR="00475D9D" w:rsidRPr="001F7F71">
        <w:t xml:space="preserve"> ISBN 978-80-7400-481-0</w:t>
      </w:r>
      <w:r w:rsidR="00954260">
        <w:t>.</w:t>
      </w:r>
    </w:p>
    <w:p w:rsidR="00475D9D" w:rsidRDefault="00475D9D" w:rsidP="00475D9D">
      <w:pPr>
        <w:jc w:val="both"/>
      </w:pPr>
    </w:p>
    <w:p w:rsidR="00EB4F0D" w:rsidRDefault="00620033" w:rsidP="00475D9D">
      <w:pPr>
        <w:jc w:val="both"/>
      </w:pPr>
      <w:r>
        <w:t>7</w:t>
      </w:r>
      <w:r w:rsidR="00475D9D">
        <w:t xml:space="preserve">) </w:t>
      </w:r>
      <w:r w:rsidR="00475D9D" w:rsidRPr="001F7F71">
        <w:t xml:space="preserve">Bělina, M. a kol.: </w:t>
      </w:r>
      <w:r w:rsidR="00475D9D" w:rsidRPr="00951B53">
        <w:rPr>
          <w:i/>
        </w:rPr>
        <w:t>Pracovní právo.</w:t>
      </w:r>
      <w:r w:rsidR="00475D9D" w:rsidRPr="001F7F71">
        <w:t xml:space="preserve"> </w:t>
      </w:r>
      <w:r w:rsidR="00475D9D">
        <w:t xml:space="preserve">6. doplněné a podstatně přepracované vydání, </w:t>
      </w:r>
      <w:r w:rsidR="00475D9D" w:rsidRPr="001F7F71">
        <w:t>Praha: C. H. Beck: Praha, 201</w:t>
      </w:r>
      <w:r w:rsidR="00475D9D">
        <w:t>4</w:t>
      </w:r>
      <w:r w:rsidR="00475D9D" w:rsidRPr="001F7F71">
        <w:t xml:space="preserve">, s. </w:t>
      </w:r>
      <w:r w:rsidR="00475D9D">
        <w:t>464, ISBN 978-80-7400-283-0</w:t>
      </w:r>
      <w:r w:rsidR="00954260">
        <w:t>.</w:t>
      </w:r>
    </w:p>
    <w:p w:rsidR="00EB4F0D" w:rsidRDefault="00EB4F0D" w:rsidP="00EB4F0D">
      <w:pPr>
        <w:jc w:val="both"/>
      </w:pPr>
    </w:p>
    <w:p w:rsidR="00EB4F0D" w:rsidRDefault="00620033" w:rsidP="00EB4F0D">
      <w:pPr>
        <w:jc w:val="both"/>
      </w:pPr>
      <w:r>
        <w:t>8</w:t>
      </w:r>
      <w:r w:rsidR="00EB4F0D" w:rsidRPr="00C04D76">
        <w:t xml:space="preserve">) </w:t>
      </w:r>
      <w:r w:rsidR="00C04D76" w:rsidRPr="001B4E61">
        <w:t>Kříž, J. a kol</w:t>
      </w:r>
      <w:r w:rsidR="00C04D76" w:rsidRPr="00C04D76">
        <w:t xml:space="preserve">.: </w:t>
      </w:r>
      <w:r w:rsidR="00C04D76" w:rsidRPr="00C04D76">
        <w:rPr>
          <w:i/>
        </w:rPr>
        <w:t>Aktuální otázky práva autorského a práv průmyslových 2015</w:t>
      </w:r>
      <w:r w:rsidR="00C04D76" w:rsidRPr="00C04D76">
        <w:t>.</w:t>
      </w:r>
      <w:r w:rsidR="00C04D76" w:rsidRPr="001B4E61">
        <w:t xml:space="preserve"> </w:t>
      </w:r>
      <w:r w:rsidR="00C04D76" w:rsidRPr="001B4E61">
        <w:rPr>
          <w:i/>
        </w:rPr>
        <w:t>Reflexe komunitární regulace a vybrané aplikační problémy</w:t>
      </w:r>
      <w:r w:rsidR="00C04D76" w:rsidRPr="001B4E61">
        <w:t xml:space="preserve">. Praha: Univerzita Karlova v Praze, Právnická fakulta, 2015, </w:t>
      </w:r>
      <w:r w:rsidR="00C04D76" w:rsidRPr="001B4E61">
        <w:rPr>
          <w:color w:val="000000"/>
        </w:rPr>
        <w:t xml:space="preserve">ISBN 978-80-87975-15-2. </w:t>
      </w:r>
      <w:r w:rsidR="00C04D76">
        <w:rPr>
          <w:color w:val="000000"/>
        </w:rPr>
        <w:t>(p</w:t>
      </w:r>
      <w:r w:rsidR="00C04D76" w:rsidRPr="001B4E61">
        <w:rPr>
          <w:color w:val="000000"/>
        </w:rPr>
        <w:t>ozn.: odevzdáno nakladateli, t.</w:t>
      </w:r>
      <w:r w:rsidR="00C04D76">
        <w:rPr>
          <w:color w:val="000000"/>
        </w:rPr>
        <w:t xml:space="preserve"> </w:t>
      </w:r>
      <w:r w:rsidR="00C04D76" w:rsidRPr="001B4E61">
        <w:rPr>
          <w:color w:val="000000"/>
        </w:rPr>
        <w:t>č. v korekturách a před tiskem</w:t>
      </w:r>
      <w:r w:rsidR="00C04D76">
        <w:rPr>
          <w:color w:val="000000"/>
        </w:rPr>
        <w:t>)</w:t>
      </w:r>
    </w:p>
    <w:p w:rsidR="00EB4F0D" w:rsidRDefault="00EB4F0D" w:rsidP="00EB4F0D">
      <w:pPr>
        <w:jc w:val="both"/>
      </w:pPr>
    </w:p>
    <w:p w:rsidR="00EB4F0D" w:rsidRDefault="00620033" w:rsidP="00EB4F0D">
      <w:pPr>
        <w:jc w:val="both"/>
      </w:pPr>
      <w:r>
        <w:t>9</w:t>
      </w:r>
      <w:r w:rsidR="00EB4F0D">
        <w:t xml:space="preserve">) </w:t>
      </w:r>
      <w:r w:rsidR="00C04D76">
        <w:t xml:space="preserve">Skřejpek M. </w:t>
      </w:r>
      <w:r w:rsidR="00C04D76" w:rsidRPr="007D0DFF">
        <w:rPr>
          <w:i/>
        </w:rPr>
        <w:t>Digesta seu Pandectae, tomus I, liber I – XV, fragmenta selecta/Digesta neboli Pandekty, svazek I, kniha I – XV, vybrané části.</w:t>
      </w:r>
      <w:r w:rsidR="00C04D76">
        <w:t xml:space="preserve"> (spolu s P. Blahem, J. Vaňkovou, J. Žytkem) Praha, Karolinum, 2015, 701s. ISBN 978-80-246-3063-2.</w:t>
      </w:r>
    </w:p>
    <w:p w:rsidR="00EB4F0D" w:rsidRDefault="00EB4F0D" w:rsidP="00EB4F0D">
      <w:pPr>
        <w:jc w:val="both"/>
      </w:pPr>
    </w:p>
    <w:p w:rsidR="00EB4F0D" w:rsidRDefault="00620033" w:rsidP="00EB4F0D">
      <w:pPr>
        <w:jc w:val="both"/>
      </w:pPr>
      <w:r>
        <w:t>10</w:t>
      </w:r>
      <w:r w:rsidR="00EB4F0D" w:rsidRPr="00C04D76">
        <w:t xml:space="preserve">) </w:t>
      </w:r>
      <w:r w:rsidR="00C04D76" w:rsidRPr="00C04D76">
        <w:rPr>
          <w:bCs/>
          <w:caps/>
        </w:rPr>
        <w:t>T</w:t>
      </w:r>
      <w:r>
        <w:rPr>
          <w:bCs/>
        </w:rPr>
        <w:t>ichý</w:t>
      </w:r>
      <w:r w:rsidR="00C04D76" w:rsidRPr="00C04D76">
        <w:rPr>
          <w:bCs/>
        </w:rPr>
        <w:t>, L</w:t>
      </w:r>
      <w:r w:rsidR="00C04D76">
        <w:rPr>
          <w:bCs/>
        </w:rPr>
        <w:t>.:</w:t>
      </w:r>
      <w:r w:rsidR="00C04D76" w:rsidRPr="00C04D76">
        <w:t xml:space="preserve"> Proportional Liability and Natural Causation</w:t>
      </w:r>
      <w:r w:rsidR="007D0DFF">
        <w:t>. In</w:t>
      </w:r>
      <w:r w:rsidR="00C04D76" w:rsidRPr="00C04D76">
        <w:t xml:space="preserve"> </w:t>
      </w:r>
      <w:r w:rsidR="00C04D76" w:rsidRPr="007D0DFF">
        <w:rPr>
          <w:i/>
        </w:rPr>
        <w:t>Zeitschrift für Europäisches Privatrecht</w:t>
      </w:r>
      <w:r w:rsidR="00C04D76" w:rsidRPr="00980974">
        <w:t>, 2013, 396-414, ISSN 0943-3929</w:t>
      </w:r>
      <w:r w:rsidR="00C04D76">
        <w:t>.</w:t>
      </w:r>
    </w:p>
    <w:p w:rsidR="00EB4F0D" w:rsidRDefault="00EB4F0D" w:rsidP="00097D74">
      <w:pPr>
        <w:jc w:val="both"/>
      </w:pPr>
    </w:p>
    <w:p w:rsidR="00620033" w:rsidRPr="00620033" w:rsidRDefault="00620033" w:rsidP="00097D74">
      <w:pPr>
        <w:jc w:val="both"/>
        <w:rPr>
          <w:b/>
        </w:rPr>
      </w:pPr>
    </w:p>
    <w:p w:rsidR="00097D74" w:rsidRDefault="00097D74" w:rsidP="00097D74">
      <w:pPr>
        <w:jc w:val="both"/>
      </w:pPr>
    </w:p>
    <w:p w:rsidR="00097D74" w:rsidRPr="009E1B60" w:rsidRDefault="009E1B60" w:rsidP="009E1B60">
      <w:pPr>
        <w:keepNext/>
        <w:jc w:val="both"/>
        <w:rPr>
          <w:b/>
        </w:rPr>
      </w:pPr>
      <w:r w:rsidRPr="009E1B60">
        <w:rPr>
          <w:b/>
        </w:rPr>
        <w:t>B.3</w:t>
      </w:r>
    </w:p>
    <w:p w:rsidR="009E1B60" w:rsidRPr="009E1B60" w:rsidRDefault="009E1B60" w:rsidP="009E1B60">
      <w:pPr>
        <w:keepNext/>
        <w:jc w:val="both"/>
        <w:rPr>
          <w:b/>
        </w:rPr>
      </w:pPr>
      <w:r w:rsidRPr="009E1B60">
        <w:rPr>
          <w:b/>
        </w:rPr>
        <w:t>Stručný plán činností na rok 2016</w:t>
      </w:r>
    </w:p>
    <w:p w:rsidR="00B1602F" w:rsidRDefault="00B1602F" w:rsidP="00097D74">
      <w:pPr>
        <w:jc w:val="both"/>
      </w:pPr>
    </w:p>
    <w:p w:rsidR="00B1602F" w:rsidRDefault="00B1602F" w:rsidP="00097D74">
      <w:pPr>
        <w:jc w:val="both"/>
      </w:pPr>
    </w:p>
    <w:p w:rsidR="00B1602F" w:rsidRPr="006631AF" w:rsidRDefault="00B1602F" w:rsidP="00B1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B1602F">
        <w:tab/>
      </w:r>
      <w:r w:rsidRPr="006631AF">
        <w:rPr>
          <w:b/>
        </w:rPr>
        <w:t>V oblasti vědeckého výzkumu předpokládáme k</w:t>
      </w:r>
      <w:r w:rsidR="006631AF" w:rsidRPr="006631AF">
        <w:rPr>
          <w:b/>
        </w:rPr>
        <w:t>ontinuitu tematického zaměření napříč všemi dílčími úkoly. Budou dokončovány rozpracované výstupy tak, aby mohly být publikovány (a tudíž také vykázány) jako výstupy z programu P05.</w:t>
      </w:r>
      <w:r w:rsidR="006631AF">
        <w:rPr>
          <w:b/>
        </w:rPr>
        <w:t xml:space="preserve"> Jednotícím prvkem napříč dílčími úkoly bude příprava participace na mezinárodní vědecké konferenci plánované na říjen roku 2016, která bude zároveň společným projektem všech programů P04, 05 a 06. Zároveň bude probíhat příprava monografie s pracovním názvem Soukromé právo XXI. století, jež bude reflektovat podmínky, východiska a perspektivy soukromého práva v ČR (srov. výše část A2 zprávy – reflexe připomínek)</w:t>
      </w:r>
      <w:r w:rsidR="004902E0">
        <w:rPr>
          <w:b/>
        </w:rPr>
        <w:t>.</w:t>
      </w:r>
    </w:p>
    <w:p w:rsidR="00B1602F" w:rsidRDefault="006631AF" w:rsidP="00B1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Pro podrobnější ilustraci lze uvést plány činnosti podle dílčích úkolů.</w:t>
      </w:r>
    </w:p>
    <w:p w:rsidR="006631AF" w:rsidRDefault="006631AF" w:rsidP="006631AF">
      <w:pPr>
        <w:jc w:val="both"/>
      </w:pPr>
      <w:r>
        <w:tab/>
        <w:t xml:space="preserve">Dílčí úkoly </w:t>
      </w:r>
      <w:r w:rsidRPr="00BF1E51">
        <w:t xml:space="preserve">úkol </w:t>
      </w:r>
      <w:r w:rsidRPr="00BF1E51">
        <w:rPr>
          <w:b/>
        </w:rPr>
        <w:t>Rekodifikace soukromého práva a jeho širší rám</w:t>
      </w:r>
      <w:r>
        <w:rPr>
          <w:b/>
        </w:rPr>
        <w:t>ec</w:t>
      </w:r>
      <w:r w:rsidRPr="006631AF">
        <w:t xml:space="preserve"> a </w:t>
      </w:r>
      <w:r w:rsidRPr="00D4180F">
        <w:rPr>
          <w:b/>
        </w:rPr>
        <w:t>Nové jevy rekodifikovaného soukromého práva</w:t>
      </w:r>
      <w:r w:rsidRPr="00D4180F">
        <w:t xml:space="preserve"> (vedoucí dílčího řešitelského týmu prof. Dvořák)</w:t>
      </w:r>
      <w:r>
        <w:t xml:space="preserve"> budou pokračovat především v dokončení řady profilujících učebnic občanského práva. Předpokládá se vydání druhého dílu o rodinném právu, budou zahájeny práce na 4. dílu o dědickém právu, a rovněž na 5. dílu o obecných otázkách závazkového práva. </w:t>
      </w:r>
      <w:r w:rsidR="004902E0">
        <w:t>Pozornost bude věnována také dílčím tématům, jako např. právní úpravě darování či dalších smluvních typů, jako např. aktuálním a pro praxi významným, přesto však v teorii opomíjeným otázkám přepravy osob.</w:t>
      </w:r>
      <w:r w:rsidR="00CD09B1">
        <w:t xml:space="preserve"> V procesním právu bude dosavadní výzkum doplněn analýzou aktuálních otázek </w:t>
      </w:r>
      <w:r w:rsidR="00CD09B1" w:rsidRPr="00CD09B1">
        <w:rPr>
          <w:i/>
        </w:rPr>
        <w:t>alternative dispute resolution</w:t>
      </w:r>
      <w:r w:rsidR="00CD09B1">
        <w:t>, jakož i procesní aspekty ochrany spotřebitele. Vedle toho bude věnována pozornost tzv. zvláštním řízením soudním, které představují zásadní prvek rekodifikovaného civilního procesu.</w:t>
      </w:r>
    </w:p>
    <w:p w:rsidR="00B1602F" w:rsidRPr="00B1602F" w:rsidRDefault="006631AF" w:rsidP="00B1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B1602F">
        <w:t xml:space="preserve">Řešitelé dílčího úkolu </w:t>
      </w:r>
      <w:r w:rsidR="00B1602F" w:rsidRPr="004D784D">
        <w:rPr>
          <w:b/>
        </w:rPr>
        <w:t>Analýza právní úpravy obchodních korporací v rekodifikačních předpisech a dopad nové právní úpravy na hranice obchodního práva jako soukromoprávního oboru</w:t>
      </w:r>
      <w:r w:rsidR="00B1602F" w:rsidRPr="004D784D">
        <w:t xml:space="preserve"> (vedoucí dílčího řešitelského týmu prof. Černá)</w:t>
      </w:r>
      <w:r w:rsidR="00B1602F">
        <w:t xml:space="preserve"> se soustředí na otázku vymezení hranic smluvní autonomie v právu obchodních korporací, konkrétněji pak na problematiku práv a povinností společníků (zejména) kapitálových společností, jakož i tématu právního režimu postavení členů volených orgánů (vzniku a zániku jejich funkce, mezí jejich ovlivňování, zastupování obchodní korporace, podmínkami vzniku jejich odpovědnosti za porušení povinností atd.). V </w:t>
      </w:r>
      <w:r w:rsidR="00B1602F" w:rsidRPr="00B1602F">
        <w:t> rámci možností daných dvouletou účinností rekodifikačních předpisů bude cílem zkoumání i efektivnost nové úpravy, resp. jejích vybraných institutů.</w:t>
      </w:r>
    </w:p>
    <w:p w:rsidR="00B1602F" w:rsidRDefault="00B1602F" w:rsidP="00097D74">
      <w:pPr>
        <w:jc w:val="both"/>
      </w:pPr>
      <w:r>
        <w:tab/>
      </w:r>
      <w:r w:rsidR="004902E0">
        <w:t xml:space="preserve">V rámci dílčího úkolu </w:t>
      </w:r>
      <w:r w:rsidR="004902E0" w:rsidRPr="002D31FB">
        <w:rPr>
          <w:b/>
        </w:rPr>
        <w:t>Mezinárodně-právní aspekty soukromého práva</w:t>
      </w:r>
      <w:r w:rsidR="004902E0" w:rsidRPr="002D31FB">
        <w:t xml:space="preserve"> (vedoucí dílčího řešitelského týmu prof.</w:t>
      </w:r>
      <w:r w:rsidR="004902E0" w:rsidRPr="0093224A">
        <w:t xml:space="preserve"> Pauknerová)</w:t>
      </w:r>
      <w:r w:rsidR="004902E0">
        <w:t xml:space="preserve"> se budou řešitelé</w:t>
      </w:r>
      <w:r w:rsidRPr="0065761E">
        <w:t xml:space="preserve"> nadále zabývat </w:t>
      </w:r>
      <w:r>
        <w:t>obecný</w:t>
      </w:r>
      <w:r w:rsidRPr="0065761E">
        <w:t xml:space="preserve">mi koncepčními otázkami mezinárodního práva soukromého, </w:t>
      </w:r>
      <w:r>
        <w:t>jako jsou</w:t>
      </w:r>
      <w:r w:rsidRPr="0065761E">
        <w:t xml:space="preserve"> </w:t>
      </w:r>
      <w:r>
        <w:t xml:space="preserve">právní jistota a flexibilita, </w:t>
      </w:r>
      <w:r w:rsidRPr="0065761E">
        <w:t xml:space="preserve">kvalifikace, </w:t>
      </w:r>
      <w:r>
        <w:t xml:space="preserve">hraniční určovatelé, </w:t>
      </w:r>
      <w:r w:rsidRPr="0065761E">
        <w:t xml:space="preserve">imperativní normy a obcházení zákona. Dále je potřebné se </w:t>
      </w:r>
      <w:r>
        <w:t>zaměřit na spojení</w:t>
      </w:r>
      <w:r w:rsidRPr="0065761E">
        <w:t xml:space="preserve"> norem procesních a kolizních, na němž je vystavena </w:t>
      </w:r>
      <w:r>
        <w:t xml:space="preserve">nejen </w:t>
      </w:r>
      <w:r w:rsidRPr="0065761E">
        <w:t xml:space="preserve">struktura nového </w:t>
      </w:r>
      <w:r>
        <w:t xml:space="preserve">českého </w:t>
      </w:r>
      <w:r w:rsidRPr="0065761E">
        <w:t xml:space="preserve">zákona, </w:t>
      </w:r>
      <w:r>
        <w:t xml:space="preserve">ale i struktura moderních evropských nařízení v oboru mezinárodní právo soukromé. </w:t>
      </w:r>
      <w:r w:rsidRPr="0065761E">
        <w:t xml:space="preserve">Další novinkou, jíž by se měl výzkum věnovat, je rozšíření možností volby rozhodného práva i volby soudu. </w:t>
      </w:r>
      <w:r>
        <w:t xml:space="preserve">Nová či nově připravovaná nařízení rozšiřují unifikovanou úpravu o mezinárodní právo dědické, mezinárodní právo rodinné, mezinárodní právo společností, nově je koncipováno mezinárodní insolvenční právo, ochrana spotřebitele, aj. </w:t>
      </w:r>
    </w:p>
    <w:p w:rsidR="009F72A4" w:rsidRPr="004E469E" w:rsidRDefault="009F72A4" w:rsidP="009F72A4">
      <w:pPr>
        <w:jc w:val="both"/>
      </w:pPr>
      <w:r>
        <w:tab/>
        <w:t xml:space="preserve">Dílčí úkol </w:t>
      </w:r>
      <w:r w:rsidRPr="002D31FB">
        <w:rPr>
          <w:b/>
        </w:rPr>
        <w:t>Pracovní právo po novém občanském zákoníku</w:t>
      </w:r>
      <w:r>
        <w:rPr>
          <w:b/>
        </w:rPr>
        <w:t xml:space="preserve"> </w:t>
      </w:r>
      <w:r w:rsidRPr="009F72A4">
        <w:t>(</w:t>
      </w:r>
      <w:r w:rsidRPr="004D784D">
        <w:t>vedoucí dílčího řešitelského týmu prof.</w:t>
      </w:r>
      <w:r>
        <w:t xml:space="preserve"> Pichrt) se zaměří na pokračování v publikační činnosti, která by, vedle teoretických otázek, reagovala též na aktuální výzvy přicházející z oblasti praxe. V rámci edičního plánu pro rok 2016 již bylo </w:t>
      </w:r>
      <w:r w:rsidRPr="004E469E">
        <w:t>schváleno společné číslo AUC</w:t>
      </w:r>
      <w:r>
        <w:t>-Iuridica</w:t>
      </w:r>
      <w:r w:rsidRPr="004E469E">
        <w:t xml:space="preserve"> </w:t>
      </w:r>
      <w:r>
        <w:t>pod p</w:t>
      </w:r>
      <w:r w:rsidRPr="004E469E">
        <w:t xml:space="preserve">racovním </w:t>
      </w:r>
      <w:r w:rsidRPr="004E469E">
        <w:lastRenderedPageBreak/>
        <w:t xml:space="preserve">názvem </w:t>
      </w:r>
      <w:r w:rsidRPr="009F72A4">
        <w:t xml:space="preserve">„Úvahy k možné novelizaci Zákoníku práce“ (Pichrt, J. </w:t>
      </w:r>
      <w:r>
        <w:t>a kol.</w:t>
      </w:r>
      <w:r w:rsidRPr="009F72A4">
        <w:t>)</w:t>
      </w:r>
      <w:r>
        <w:t>; základ autorského týmu (do cca 10 autorů) této kolektivní monografie budou tvořit členové řešitelského týmu.</w:t>
      </w:r>
    </w:p>
    <w:p w:rsidR="009F72A4" w:rsidRDefault="009F72A4" w:rsidP="009F72A4">
      <w:pPr>
        <w:jc w:val="both"/>
      </w:pPr>
      <w:r>
        <w:t xml:space="preserve">V přípravě je také publikace pod pracovním názvem </w:t>
      </w:r>
      <w:r w:rsidRPr="009F72A4">
        <w:t>„Third Country National´s Social Rights“ (Štefko, M., ed.),</w:t>
      </w:r>
      <w:r w:rsidRPr="00B243CB">
        <w:t xml:space="preserve"> s předpokládaným účastí 20 až 28 vysokoškolských pedagogů z celé EU, resp. EHS. termín dodání rukopisu </w:t>
      </w:r>
      <w:r>
        <w:t xml:space="preserve">je </w:t>
      </w:r>
      <w:r w:rsidRPr="00B243CB">
        <w:t>III. čtvrtletí 2016.</w:t>
      </w:r>
      <w:r>
        <w:t xml:space="preserve"> Řešitelský tým počítá v roce 2016 s (aktivní) účastí na tradičních konferencích doma (Třešť) i v zahraničí, bude však samozřejmě i v této oblasti reagovat na nové možnosti účasti na akcích prospěšných pro řešení programu, resp. dílčího úkolu.</w:t>
      </w:r>
    </w:p>
    <w:p w:rsidR="003949A2" w:rsidRDefault="003949A2" w:rsidP="003949A2">
      <w:pPr>
        <w:jc w:val="both"/>
      </w:pPr>
      <w:r>
        <w:tab/>
        <w:t xml:space="preserve">V rámci dílčího úkolu </w:t>
      </w:r>
      <w:r w:rsidRPr="002D31FB">
        <w:rPr>
          <w:b/>
        </w:rPr>
        <w:t>Aktuální otázky autorského práva</w:t>
      </w:r>
      <w:r w:rsidRPr="002D31FB">
        <w:t xml:space="preserve"> (vedoucí dílčího řešitelského týmu prof. Kříž)</w:t>
      </w:r>
      <w:r>
        <w:t xml:space="preserve"> bude vydána tradiční k</w:t>
      </w:r>
      <w:r w:rsidRPr="001B4E61">
        <w:t>olektivní monografie Aktuální otázky práva průmys</w:t>
      </w:r>
      <w:r>
        <w:t>lového a práv průmyslových 2016, již jsou připraveny dvě</w:t>
      </w:r>
      <w:r w:rsidRPr="001B4E61">
        <w:t xml:space="preserve"> přednášky zahraničních hostů – prof. P.</w:t>
      </w:r>
      <w:r>
        <w:t xml:space="preserve"> </w:t>
      </w:r>
      <w:r w:rsidRPr="001B4E61">
        <w:t>B. Hugenholtz (Ústav informačního práva při Právnické fakultě Univerzity Amsterdam), prof. P. Götting, Právnická fakulta Technické univerzity Drážďany popř. jiní vědečtí pracovníci těchto institucí.</w:t>
      </w:r>
      <w:r w:rsidR="00490A65">
        <w:t xml:space="preserve"> Proběhnou také krátkodobé stáže kolegů z </w:t>
      </w:r>
      <w:r w:rsidRPr="001B4E61">
        <w:t>Právnick</w:t>
      </w:r>
      <w:r w:rsidR="00490A65">
        <w:t>é</w:t>
      </w:r>
      <w:r w:rsidRPr="001B4E61">
        <w:t xml:space="preserve"> fakult</w:t>
      </w:r>
      <w:r w:rsidR="00490A65">
        <w:t>y</w:t>
      </w:r>
      <w:r w:rsidRPr="001B4E61">
        <w:t xml:space="preserve"> Technické univerzity Drážďany </w:t>
      </w:r>
      <w:r w:rsidR="00490A65">
        <w:t xml:space="preserve">(v </w:t>
      </w:r>
      <w:r w:rsidRPr="001B4E61">
        <w:t>návaznost</w:t>
      </w:r>
      <w:r w:rsidR="00490A65">
        <w:t>i</w:t>
      </w:r>
      <w:r w:rsidRPr="001B4E61">
        <w:t xml:space="preserve"> na jednání s představiteli T</w:t>
      </w:r>
      <w:r w:rsidR="00490A65">
        <w:t>U</w:t>
      </w:r>
      <w:r w:rsidRPr="001B4E61">
        <w:t xml:space="preserve"> Drážďany na PF UK dne 6.</w:t>
      </w:r>
      <w:r w:rsidR="00490A65">
        <w:t xml:space="preserve"> </w:t>
      </w:r>
      <w:r w:rsidRPr="001B4E61">
        <w:t>1.</w:t>
      </w:r>
      <w:r w:rsidR="00490A65">
        <w:t xml:space="preserve"> </w:t>
      </w:r>
      <w:r w:rsidRPr="001B4E61">
        <w:t>2016</w:t>
      </w:r>
      <w:r w:rsidR="00490A65">
        <w:t xml:space="preserve">), z </w:t>
      </w:r>
      <w:r w:rsidRPr="001B4E61">
        <w:t>Ústav</w:t>
      </w:r>
      <w:r w:rsidR="00490A65">
        <w:t>u</w:t>
      </w:r>
      <w:r w:rsidRPr="001B4E61">
        <w:t xml:space="preserve"> informačního práva Právnické fakulty Univerzity Amsterdam (Institute for Informat</w:t>
      </w:r>
      <w:r w:rsidR="00490A65">
        <w:t>ion Law, University Amsterdam) a z </w:t>
      </w:r>
      <w:r w:rsidRPr="001B4E61">
        <w:t>Univerzit</w:t>
      </w:r>
      <w:r w:rsidR="00490A65">
        <w:t xml:space="preserve">y </w:t>
      </w:r>
      <w:r w:rsidRPr="001B4E61">
        <w:t>Queen Mary College, Londýn</w:t>
      </w:r>
      <w:r w:rsidR="00490A65">
        <w:t>.</w:t>
      </w:r>
      <w:r w:rsidR="00C910D3">
        <w:t xml:space="preserve"> Plánováno je také k</w:t>
      </w:r>
      <w:r w:rsidRPr="001B4E61">
        <w:t>olokvium k aktuálním otázkám duševního vlastnictví (změny v kolektivní správě aj.)</w:t>
      </w:r>
    </w:p>
    <w:p w:rsidR="00C910D3" w:rsidRPr="004A6DFC" w:rsidRDefault="00C910D3" w:rsidP="00C910D3">
      <w:pPr>
        <w:jc w:val="both"/>
      </w:pPr>
      <w:r>
        <w:tab/>
      </w:r>
      <w:r w:rsidRPr="003951E6">
        <w:t xml:space="preserve">Dílčí úkol </w:t>
      </w:r>
      <w:r w:rsidRPr="003951E6">
        <w:rPr>
          <w:b/>
        </w:rPr>
        <w:t>Historicko-právní reflexe soukromého práva</w:t>
      </w:r>
      <w:r w:rsidRPr="003951E6">
        <w:t xml:space="preserve"> (vedoucí dílčího řešitelského týmu prof. Skřejpek)</w:t>
      </w:r>
      <w:r>
        <w:t xml:space="preserve"> bude v roce 2016 v mezinárodním kontextu soustředit pozornost na tradiční aktivity – účast na výše kongresech a konferencích (Société „Fernand de Visscher“ pour l'Histoire des Droits de L'Antiquité – Paris; Diritto romano e attualità – Warszawa). Kromě toho je plánována účast všech řešitelů na Konferenci slovenských a českých právních romanistů (Trnava) a především na říjnové konferenci pořádané v rámci PRVOUK </w:t>
      </w:r>
      <w:r>
        <w:tab/>
        <w:t>S tím souvisí také vypracování referátů na uvedené vědecké akce a jejich následná publikace v domácích i zahraničních vědeckých časopisech. Pokračovat budou rovněž práce na překladu dalších knih Digest (kniha 16. – 35.) a příprava rukopisu pro nakladatelství Karolinum. Plánována je rovněž monografie o recepci římského práva (dr. Falada).</w:t>
      </w:r>
    </w:p>
    <w:p w:rsidR="00C910D3" w:rsidRPr="00980974" w:rsidRDefault="00C910D3" w:rsidP="00C910D3">
      <w:pPr>
        <w:jc w:val="both"/>
      </w:pPr>
      <w:r>
        <w:tab/>
      </w:r>
      <w:r w:rsidRPr="00FD106E">
        <w:t xml:space="preserve">V rámci dílčího úkolu </w:t>
      </w:r>
      <w:r w:rsidRPr="00837CB9">
        <w:rPr>
          <w:b/>
        </w:rPr>
        <w:t>Vybrané instituty soukromého práva</w:t>
      </w:r>
      <w:r w:rsidRPr="00FD106E">
        <w:t xml:space="preserve"> </w:t>
      </w:r>
      <w:r>
        <w:t xml:space="preserve">řešeného nepedagogickým pracovištěm Centrum právní komparatistiky </w:t>
      </w:r>
      <w:r w:rsidRPr="00FD106E">
        <w:t>(vedoucí dílčího řešitelského týmu prof. Tichý</w:t>
      </w:r>
      <w:r>
        <w:t>) se v</w:t>
      </w:r>
      <w:r w:rsidRPr="00980974">
        <w:t> roce 2016 se uskuteční projekt v rámci programu Mobility s Wirstschaftsuniversität Vídeň na téma následky zneužití práva. Vyvrcholením tohoto projektu bude konference 20. a 21. října 2016 a publikace v angličtině. Kromě toho vyjdou členům CPK celkem 4 knihy a několik monografií. Na programu jejich fór vystoupí kromě členů CPK někteří významní evropští privatisté.</w:t>
      </w:r>
    </w:p>
    <w:p w:rsidR="007D69EC" w:rsidRDefault="007D69EC" w:rsidP="00097D74">
      <w:pPr>
        <w:jc w:val="both"/>
      </w:pPr>
    </w:p>
    <w:p w:rsidR="007D69EC" w:rsidRDefault="007D69EC" w:rsidP="00097D74">
      <w:pPr>
        <w:jc w:val="both"/>
      </w:pPr>
    </w:p>
    <w:p w:rsidR="009E1B60" w:rsidRPr="009E1B60" w:rsidRDefault="009E1B60" w:rsidP="009E1B60">
      <w:pPr>
        <w:keepNext/>
        <w:jc w:val="both"/>
        <w:rPr>
          <w:b/>
        </w:rPr>
      </w:pPr>
      <w:r w:rsidRPr="009E1B60">
        <w:rPr>
          <w:b/>
        </w:rPr>
        <w:t>B.4</w:t>
      </w:r>
    </w:p>
    <w:p w:rsidR="009E1B60" w:rsidRPr="009E1B60" w:rsidRDefault="009E1B60" w:rsidP="009E1B60">
      <w:pPr>
        <w:keepNext/>
        <w:jc w:val="both"/>
        <w:rPr>
          <w:b/>
        </w:rPr>
      </w:pPr>
      <w:r w:rsidRPr="009E1B60">
        <w:rPr>
          <w:b/>
        </w:rPr>
        <w:t>Případná aktualizace přihlášky programu</w:t>
      </w:r>
    </w:p>
    <w:p w:rsidR="009E1B60" w:rsidRPr="00C236A3" w:rsidRDefault="009E1B60" w:rsidP="00097D74">
      <w:pPr>
        <w:jc w:val="both"/>
        <w:rPr>
          <w:i/>
          <w:sz w:val="22"/>
          <w:szCs w:val="22"/>
        </w:rPr>
      </w:pPr>
      <w:r w:rsidRPr="00C236A3">
        <w:rPr>
          <w:i/>
          <w:sz w:val="22"/>
          <w:szCs w:val="22"/>
        </w:rPr>
        <w:t>Pokud některých plánovaných cílů programu uvedených v části j) nebo h) přihlášky programu nebylo ani nebude moci být dosaženo, zpracujte aktualizaci těchto částí přihlášky a adekvátní zdůvodnění.</w:t>
      </w:r>
    </w:p>
    <w:p w:rsidR="009E1B60" w:rsidRPr="009E1B60" w:rsidRDefault="009E1B60" w:rsidP="00097D74">
      <w:pPr>
        <w:jc w:val="both"/>
      </w:pPr>
    </w:p>
    <w:p w:rsidR="007363A8" w:rsidRDefault="007363A8" w:rsidP="00097D74">
      <w:pPr>
        <w:jc w:val="both"/>
        <w:rPr>
          <w:b/>
        </w:rPr>
      </w:pPr>
    </w:p>
    <w:p w:rsidR="007363A8" w:rsidRDefault="00C236A3" w:rsidP="00C236A3">
      <w:pPr>
        <w:keepNext/>
        <w:jc w:val="both"/>
        <w:rPr>
          <w:b/>
        </w:rPr>
      </w:pPr>
      <w:r>
        <w:rPr>
          <w:b/>
        </w:rPr>
        <w:t>B.5</w:t>
      </w:r>
    </w:p>
    <w:p w:rsidR="00C236A3" w:rsidRPr="00C236A3" w:rsidRDefault="00C236A3" w:rsidP="00C236A3">
      <w:pPr>
        <w:keepNext/>
        <w:jc w:val="both"/>
      </w:pPr>
      <w:r>
        <w:rPr>
          <w:b/>
        </w:rPr>
        <w:t xml:space="preserve">Stručná charakteristika mezifakultní spolupráce </w:t>
      </w:r>
      <w:r w:rsidRPr="00C236A3">
        <w:t>(zpracujte jen u společných programů více fakult / VŠ ústavů UK)</w:t>
      </w:r>
    </w:p>
    <w:p w:rsidR="00C236A3" w:rsidRPr="00C236A3" w:rsidRDefault="00C236A3" w:rsidP="00097D74">
      <w:pPr>
        <w:jc w:val="both"/>
        <w:rPr>
          <w:i/>
          <w:sz w:val="22"/>
          <w:szCs w:val="22"/>
        </w:rPr>
      </w:pPr>
      <w:r w:rsidRPr="00C236A3">
        <w:rPr>
          <w:i/>
          <w:sz w:val="22"/>
          <w:szCs w:val="22"/>
        </w:rPr>
        <w:t>Stručně charakterizujte dosavadní mezifakultní spolupráci, její přínosy a případná úskalí.</w:t>
      </w:r>
    </w:p>
    <w:p w:rsidR="007363A8" w:rsidRDefault="007363A8" w:rsidP="00097D74">
      <w:pPr>
        <w:jc w:val="both"/>
        <w:rPr>
          <w:b/>
        </w:rPr>
      </w:pPr>
    </w:p>
    <w:p w:rsidR="007363A8" w:rsidRDefault="007363A8" w:rsidP="00097D74">
      <w:pPr>
        <w:jc w:val="both"/>
        <w:rPr>
          <w:b/>
        </w:rPr>
      </w:pPr>
    </w:p>
    <w:p w:rsidR="007363A8" w:rsidRDefault="007363A8" w:rsidP="00097D74">
      <w:pPr>
        <w:jc w:val="both"/>
        <w:rPr>
          <w:b/>
        </w:rPr>
      </w:pPr>
    </w:p>
    <w:p w:rsidR="007363A8" w:rsidRDefault="007363A8" w:rsidP="00097D74">
      <w:pPr>
        <w:jc w:val="both"/>
        <w:rPr>
          <w:b/>
        </w:rPr>
      </w:pPr>
    </w:p>
    <w:p w:rsidR="000212A1" w:rsidRDefault="000212A1" w:rsidP="00097D74">
      <w:pPr>
        <w:jc w:val="both"/>
      </w:pPr>
    </w:p>
    <w:p w:rsidR="000212A1" w:rsidRPr="005543BA" w:rsidRDefault="000212A1" w:rsidP="000212A1">
      <w:pPr>
        <w:jc w:val="both"/>
        <w:rPr>
          <w:b/>
        </w:rPr>
      </w:pPr>
      <w:r w:rsidRPr="005543BA">
        <w:rPr>
          <w:b/>
        </w:rPr>
        <w:t>Datum a podpis koordinátora:</w:t>
      </w:r>
      <w:r>
        <w:rPr>
          <w:b/>
        </w:rPr>
        <w:tab/>
      </w:r>
      <w:r>
        <w:rPr>
          <w:b/>
        </w:rPr>
        <w:tab/>
        <w:t>...................................................................</w:t>
      </w:r>
    </w:p>
    <w:p w:rsidR="000212A1" w:rsidRDefault="000212A1" w:rsidP="000212A1">
      <w:pPr>
        <w:jc w:val="both"/>
      </w:pPr>
    </w:p>
    <w:p w:rsidR="000212A1" w:rsidRDefault="000212A1" w:rsidP="000212A1">
      <w:pPr>
        <w:jc w:val="both"/>
      </w:pPr>
    </w:p>
    <w:p w:rsidR="000212A1" w:rsidRPr="00D05817" w:rsidRDefault="000212A1" w:rsidP="000212A1">
      <w:pPr>
        <w:keepNext/>
        <w:jc w:val="both"/>
        <w:rPr>
          <w:b/>
        </w:rPr>
      </w:pPr>
      <w:r w:rsidRPr="00D05817">
        <w:rPr>
          <w:b/>
        </w:rPr>
        <w:t>Podpis děkana/ředitele:</w:t>
      </w:r>
    </w:p>
    <w:p w:rsidR="000212A1" w:rsidRPr="006B132B" w:rsidRDefault="000212A1" w:rsidP="000212A1">
      <w:pPr>
        <w:keepNext/>
        <w:jc w:val="both"/>
        <w:rPr>
          <w:b/>
          <w:highlight w:val="cyan"/>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19"/>
        <w:gridCol w:w="4927"/>
      </w:tblGrid>
      <w:tr w:rsidR="000212A1" w:rsidRPr="00306C9A" w:rsidTr="00D05817">
        <w:trPr>
          <w:cantSplit/>
          <w:tblHeader/>
        </w:trPr>
        <w:tc>
          <w:tcPr>
            <w:tcW w:w="1242" w:type="dxa"/>
            <w:tcBorders>
              <w:top w:val="double" w:sz="4" w:space="0" w:color="auto"/>
              <w:bottom w:val="double" w:sz="4" w:space="0" w:color="auto"/>
            </w:tcBorders>
            <w:shd w:val="clear" w:color="auto" w:fill="E0E0E0"/>
            <w:vAlign w:val="center"/>
          </w:tcPr>
          <w:p w:rsidR="000212A1" w:rsidRPr="00306C9A" w:rsidRDefault="000212A1" w:rsidP="002D1438">
            <w:pPr>
              <w:keepNext/>
              <w:jc w:val="center"/>
              <w:rPr>
                <w:b/>
              </w:rPr>
            </w:pPr>
            <w:r w:rsidRPr="00306C9A">
              <w:rPr>
                <w:b/>
              </w:rPr>
              <w:t>Fakulta</w:t>
            </w:r>
            <w:r w:rsidR="002B0820">
              <w:rPr>
                <w:b/>
              </w:rPr>
              <w:t xml:space="preserve"> </w:t>
            </w:r>
            <w:r w:rsidRPr="00306C9A">
              <w:rPr>
                <w:b/>
              </w:rPr>
              <w:t>/</w:t>
            </w:r>
          </w:p>
          <w:p w:rsidR="000212A1" w:rsidRPr="00306C9A" w:rsidRDefault="002B0820" w:rsidP="002D1438">
            <w:pPr>
              <w:keepNext/>
              <w:jc w:val="center"/>
              <w:rPr>
                <w:b/>
              </w:rPr>
            </w:pPr>
            <w:r>
              <w:rPr>
                <w:b/>
              </w:rPr>
              <w:t>VŠ ústav</w:t>
            </w:r>
          </w:p>
        </w:tc>
        <w:tc>
          <w:tcPr>
            <w:tcW w:w="3119" w:type="dxa"/>
            <w:tcBorders>
              <w:top w:val="double" w:sz="4" w:space="0" w:color="auto"/>
              <w:bottom w:val="double" w:sz="4" w:space="0" w:color="auto"/>
            </w:tcBorders>
            <w:shd w:val="clear" w:color="auto" w:fill="E0E0E0"/>
            <w:vAlign w:val="center"/>
          </w:tcPr>
          <w:p w:rsidR="000212A1" w:rsidRPr="00306C9A" w:rsidRDefault="000212A1" w:rsidP="002D1438">
            <w:pPr>
              <w:jc w:val="center"/>
              <w:rPr>
                <w:b/>
              </w:rPr>
            </w:pPr>
            <w:r w:rsidRPr="00306C9A">
              <w:rPr>
                <w:b/>
              </w:rPr>
              <w:t>Jméno, příjmení, titul děkana/ředitele</w:t>
            </w:r>
          </w:p>
        </w:tc>
        <w:tc>
          <w:tcPr>
            <w:tcW w:w="4927" w:type="dxa"/>
            <w:tcBorders>
              <w:top w:val="double" w:sz="4" w:space="0" w:color="auto"/>
              <w:bottom w:val="double" w:sz="4" w:space="0" w:color="auto"/>
            </w:tcBorders>
            <w:shd w:val="clear" w:color="auto" w:fill="E0E0E0"/>
            <w:vAlign w:val="center"/>
          </w:tcPr>
          <w:p w:rsidR="000212A1" w:rsidRPr="00306C9A" w:rsidRDefault="000212A1" w:rsidP="002D1438">
            <w:pPr>
              <w:jc w:val="center"/>
              <w:rPr>
                <w:b/>
              </w:rPr>
            </w:pPr>
            <w:r w:rsidRPr="00306C9A">
              <w:rPr>
                <w:b/>
              </w:rPr>
              <w:t>Datum a podpis děkana/ředitele</w:t>
            </w:r>
          </w:p>
        </w:tc>
      </w:tr>
      <w:tr w:rsidR="00D05817" w:rsidTr="00D05817">
        <w:trPr>
          <w:cantSplit/>
          <w:trHeight w:val="1304"/>
        </w:trPr>
        <w:tc>
          <w:tcPr>
            <w:tcW w:w="1242" w:type="dxa"/>
            <w:shd w:val="clear" w:color="auto" w:fill="auto"/>
            <w:vAlign w:val="center"/>
          </w:tcPr>
          <w:p w:rsidR="00D05817" w:rsidRPr="0000164E" w:rsidRDefault="00D05817" w:rsidP="00236817">
            <w:r w:rsidRPr="0000164E">
              <w:t>Právnická fakulta</w:t>
            </w:r>
          </w:p>
        </w:tc>
        <w:tc>
          <w:tcPr>
            <w:tcW w:w="3119" w:type="dxa"/>
            <w:shd w:val="clear" w:color="auto" w:fill="auto"/>
            <w:vAlign w:val="center"/>
          </w:tcPr>
          <w:p w:rsidR="00D05817" w:rsidRPr="00AA61E0" w:rsidRDefault="00D05817" w:rsidP="00236817">
            <w:pPr>
              <w:rPr>
                <w:color w:val="FF0000"/>
              </w:rPr>
            </w:pPr>
            <w:r w:rsidRPr="00452AE7">
              <w:t>prof. JUDr. Jan Kuklík, DrSc.</w:t>
            </w:r>
          </w:p>
        </w:tc>
        <w:tc>
          <w:tcPr>
            <w:tcW w:w="4927" w:type="dxa"/>
            <w:shd w:val="clear" w:color="auto" w:fill="auto"/>
            <w:vAlign w:val="center"/>
          </w:tcPr>
          <w:p w:rsidR="00D05817" w:rsidRDefault="00D05817" w:rsidP="002D1438"/>
        </w:tc>
      </w:tr>
    </w:tbl>
    <w:p w:rsidR="000212A1" w:rsidRDefault="000212A1" w:rsidP="005F220B"/>
    <w:sectPr w:rsidR="000212A1" w:rsidSect="00FE3E0F">
      <w:headerReference w:type="even" r:id="rId9"/>
      <w:headerReference w:type="default" r:id="rId10"/>
      <w:footerReference w:type="even"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02F" w:rsidRDefault="00B1602F" w:rsidP="000212A1">
      <w:r>
        <w:separator/>
      </w:r>
    </w:p>
  </w:endnote>
  <w:endnote w:type="continuationSeparator" w:id="0">
    <w:p w:rsidR="00B1602F" w:rsidRDefault="00B1602F" w:rsidP="0002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02F" w:rsidRDefault="00B1602F" w:rsidP="002D1438">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end"/>
    </w:r>
  </w:p>
  <w:p w:rsidR="00B1602F" w:rsidRDefault="00B1602F" w:rsidP="002D1438">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02F" w:rsidRDefault="00B1602F" w:rsidP="002D1438">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separate"/>
    </w:r>
    <w:r w:rsidR="00F412B7">
      <w:rPr>
        <w:rStyle w:val="slostrnky"/>
        <w:noProof/>
      </w:rPr>
      <w:t>1</w:t>
    </w:r>
    <w:r>
      <w:rPr>
        <w:rStyle w:val="slostrnky"/>
      </w:rPr>
      <w:fldChar w:fldCharType="end"/>
    </w:r>
  </w:p>
  <w:p w:rsidR="00B1602F" w:rsidRDefault="00B1602F" w:rsidP="002D1438">
    <w:pPr>
      <w:pStyle w:val="Zpat"/>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02F" w:rsidRDefault="00B1602F" w:rsidP="000212A1">
      <w:r>
        <w:separator/>
      </w:r>
    </w:p>
  </w:footnote>
  <w:footnote w:type="continuationSeparator" w:id="0">
    <w:p w:rsidR="00B1602F" w:rsidRDefault="00B1602F" w:rsidP="000212A1">
      <w:r>
        <w:continuationSeparator/>
      </w:r>
    </w:p>
  </w:footnote>
  <w:footnote w:id="1">
    <w:p w:rsidR="00B1602F" w:rsidRDefault="00B1602F" w:rsidP="00776C79">
      <w:pPr>
        <w:pStyle w:val="Textpoznpodarou"/>
        <w:jc w:val="both"/>
      </w:pPr>
      <w:r>
        <w:rPr>
          <w:rStyle w:val="Znakapoznpodarou"/>
        </w:rPr>
        <w:footnoteRef/>
      </w:r>
      <w:r>
        <w:t xml:space="preserve"> Pro úplnost je třeba osvětlit, že číslování dílů učebnice odpovídá systematice rekodifikovaného soukromého práva. Proto je problematika věcných práv, resp. absolutních práv majetkových, zařazena jako díl třetí. Autorský kolektiv přistoupil k přednostnímu zpracování této problematiky na základě reflexe poznatků z činnosti pedagogické a též ohlasů z praxe.</w:t>
      </w:r>
    </w:p>
  </w:footnote>
  <w:footnote w:id="2">
    <w:p w:rsidR="00B1602F" w:rsidRDefault="00B1602F">
      <w:pPr>
        <w:pStyle w:val="Textpoznpodarou"/>
      </w:pPr>
      <w:r>
        <w:rPr>
          <w:rStyle w:val="Znakapoznpodarou"/>
        </w:rPr>
        <w:footnoteRef/>
      </w:r>
      <w:r>
        <w:t xml:space="preserve"> Nyní Kubešová, S.</w:t>
      </w:r>
    </w:p>
  </w:footnote>
  <w:footnote w:id="3">
    <w:p w:rsidR="00B1602F" w:rsidRPr="004A12F7" w:rsidRDefault="00B1602F" w:rsidP="00281DDB">
      <w:pPr>
        <w:pStyle w:val="Textpoznpodarou"/>
        <w:spacing w:after="60"/>
        <w:jc w:val="both"/>
        <w:rPr>
          <w:sz w:val="22"/>
          <w:szCs w:val="22"/>
        </w:rPr>
      </w:pPr>
      <w:r w:rsidRPr="004A12F7">
        <w:rPr>
          <w:rStyle w:val="Znakapoznpodarou"/>
          <w:sz w:val="22"/>
          <w:szCs w:val="22"/>
        </w:rPr>
        <w:footnoteRef/>
      </w:r>
      <w:r w:rsidRPr="004A12F7">
        <w:rPr>
          <w:sz w:val="22"/>
          <w:szCs w:val="22"/>
        </w:rPr>
        <w:t xml:space="preserve"> Minimální rozsah článku v recenzovaném periodiku: 5 stran. Kratší studie, stejně jako recenze, zprávy z konferencí a příspěvky do nerecenzovaných sborníků uvádějte jako</w:t>
      </w:r>
      <w:r>
        <w:rPr>
          <w:sz w:val="22"/>
          <w:szCs w:val="22"/>
        </w:rPr>
        <w:t xml:space="preserve"> „</w:t>
      </w:r>
      <w:r w:rsidRPr="004A12F7">
        <w:rPr>
          <w:sz w:val="22"/>
          <w:szCs w:val="22"/>
        </w:rPr>
        <w:t>jiný výsledek“.</w:t>
      </w:r>
    </w:p>
  </w:footnote>
  <w:footnote w:id="4">
    <w:p w:rsidR="00B1602F" w:rsidRPr="006B4154" w:rsidRDefault="00B1602F" w:rsidP="00281DDB">
      <w:pPr>
        <w:pStyle w:val="Textpoznpodarou"/>
        <w:spacing w:after="60"/>
        <w:jc w:val="both"/>
        <w:rPr>
          <w:sz w:val="22"/>
          <w:szCs w:val="22"/>
        </w:rPr>
      </w:pPr>
      <w:r w:rsidRPr="006B4154">
        <w:rPr>
          <w:rStyle w:val="Znakapoznpodarou"/>
          <w:sz w:val="22"/>
          <w:szCs w:val="22"/>
        </w:rPr>
        <w:footnoteRef/>
      </w:r>
      <w:r w:rsidRPr="006B4154">
        <w:rPr>
          <w:sz w:val="22"/>
          <w:szCs w:val="22"/>
        </w:rPr>
        <w:t xml:space="preserve"> Uvádějte finanční prostředky na PRVOUK </w:t>
      </w:r>
      <w:r w:rsidRPr="006B4154">
        <w:rPr>
          <w:b/>
          <w:sz w:val="22"/>
          <w:szCs w:val="22"/>
        </w:rPr>
        <w:t>bez bonifikace společných programů; nezahrnujte ani prostředky převedené za rok 2014 do FÚUP</w:t>
      </w:r>
      <w:r w:rsidRPr="006B4154">
        <w:rPr>
          <w:sz w:val="22"/>
          <w:szCs w:val="22"/>
        </w:rPr>
        <w:t>. V řádku „FÚUP“ uveďte vždy částku nedočerpanou v roce 2015 a převedenou do FÚUP pro využití v roce 2016.</w:t>
      </w:r>
    </w:p>
  </w:footnote>
  <w:footnote w:id="5">
    <w:p w:rsidR="00B1602F" w:rsidRPr="00F0566D" w:rsidRDefault="00B1602F" w:rsidP="00281DDB">
      <w:pPr>
        <w:pStyle w:val="Textpoznpodarou"/>
        <w:spacing w:after="60"/>
        <w:jc w:val="both"/>
        <w:rPr>
          <w:sz w:val="22"/>
          <w:szCs w:val="22"/>
        </w:rPr>
      </w:pPr>
      <w:r w:rsidRPr="009E1B60">
        <w:rPr>
          <w:rStyle w:val="Znakapoznpodarou"/>
          <w:sz w:val="22"/>
          <w:szCs w:val="22"/>
        </w:rPr>
        <w:footnoteRef/>
      </w:r>
      <w:r w:rsidRPr="009E1B60">
        <w:rPr>
          <w:sz w:val="22"/>
          <w:szCs w:val="22"/>
        </w:rPr>
        <w:t xml:space="preserve"> tj. </w:t>
      </w:r>
      <w:r w:rsidRPr="00F0566D">
        <w:rPr>
          <w:sz w:val="22"/>
          <w:szCs w:val="22"/>
        </w:rPr>
        <w:t>aktuálně v hodnotě nad 2 mil. Kč bez DPH</w:t>
      </w:r>
    </w:p>
  </w:footnote>
  <w:footnote w:id="6">
    <w:p w:rsidR="00B1602F" w:rsidRPr="00F0566D" w:rsidRDefault="00B1602F" w:rsidP="00281DDB">
      <w:pPr>
        <w:pStyle w:val="Textpoznpodarou"/>
        <w:spacing w:after="60"/>
        <w:jc w:val="both"/>
        <w:rPr>
          <w:sz w:val="22"/>
          <w:szCs w:val="22"/>
        </w:rPr>
      </w:pPr>
      <w:r w:rsidRPr="00F0566D">
        <w:rPr>
          <w:rStyle w:val="Znakapoznpodarou"/>
          <w:sz w:val="22"/>
          <w:szCs w:val="22"/>
        </w:rPr>
        <w:footnoteRef/>
      </w:r>
      <w:r w:rsidRPr="00F0566D">
        <w:rPr>
          <w:sz w:val="22"/>
          <w:szCs w:val="22"/>
        </w:rPr>
        <w:t xml:space="preserve"> návrh klíčových kroků pro kvalitativní zlepšení postavení vědní oblasti na UK v národním a zejména mezinárodním kontextu v horizontu doby uskutečňování programu, zdůvodnění a rámcový harmonogram těchto kroků, indikátory tohoto zlepšení</w:t>
      </w:r>
    </w:p>
  </w:footnote>
  <w:footnote w:id="7">
    <w:p w:rsidR="00B1602F" w:rsidRPr="00F0566D" w:rsidRDefault="00B1602F" w:rsidP="00281DDB">
      <w:pPr>
        <w:pStyle w:val="Textpoznpodarou"/>
        <w:jc w:val="both"/>
        <w:rPr>
          <w:sz w:val="22"/>
          <w:szCs w:val="22"/>
        </w:rPr>
      </w:pPr>
      <w:r w:rsidRPr="00F0566D">
        <w:rPr>
          <w:rStyle w:val="Znakapoznpodarou"/>
          <w:sz w:val="22"/>
          <w:szCs w:val="22"/>
        </w:rPr>
        <w:footnoteRef/>
      </w:r>
      <w:r w:rsidRPr="00F0566D">
        <w:rPr>
          <w:sz w:val="22"/>
          <w:szCs w:val="22"/>
        </w:rPr>
        <w:t xml:space="preserve"> popis programu, včetně návaznosti na dosavadní vědecké výsledky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02F" w:rsidRDefault="00B1602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02F" w:rsidRDefault="00B1602F" w:rsidP="00FF290C">
    <w:pPr>
      <w:pStyle w:val="Zhlav"/>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02F" w:rsidRDefault="00B1602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2A1"/>
    <w:rsid w:val="00012042"/>
    <w:rsid w:val="000212A1"/>
    <w:rsid w:val="000842FD"/>
    <w:rsid w:val="00097D74"/>
    <w:rsid w:val="000A5397"/>
    <w:rsid w:val="000C5403"/>
    <w:rsid w:val="000C5EA1"/>
    <w:rsid w:val="00125DAE"/>
    <w:rsid w:val="001264EF"/>
    <w:rsid w:val="00132D73"/>
    <w:rsid w:val="001332B1"/>
    <w:rsid w:val="001B0D64"/>
    <w:rsid w:val="001E5C21"/>
    <w:rsid w:val="00200185"/>
    <w:rsid w:val="00207B8D"/>
    <w:rsid w:val="00236817"/>
    <w:rsid w:val="0023726F"/>
    <w:rsid w:val="00281DDB"/>
    <w:rsid w:val="002971F1"/>
    <w:rsid w:val="002B0820"/>
    <w:rsid w:val="002D1438"/>
    <w:rsid w:val="002E5A9D"/>
    <w:rsid w:val="002E7700"/>
    <w:rsid w:val="00323AB2"/>
    <w:rsid w:val="003371C3"/>
    <w:rsid w:val="0035415C"/>
    <w:rsid w:val="00372A04"/>
    <w:rsid w:val="003949A2"/>
    <w:rsid w:val="003C68D1"/>
    <w:rsid w:val="004025FB"/>
    <w:rsid w:val="00453368"/>
    <w:rsid w:val="00473612"/>
    <w:rsid w:val="00475D9D"/>
    <w:rsid w:val="00483BF4"/>
    <w:rsid w:val="004902E0"/>
    <w:rsid w:val="00490A65"/>
    <w:rsid w:val="004936BD"/>
    <w:rsid w:val="004A12F7"/>
    <w:rsid w:val="004F6295"/>
    <w:rsid w:val="005348AA"/>
    <w:rsid w:val="005537AD"/>
    <w:rsid w:val="005A0C75"/>
    <w:rsid w:val="005C7771"/>
    <w:rsid w:val="005D0732"/>
    <w:rsid w:val="005E7C50"/>
    <w:rsid w:val="005F220B"/>
    <w:rsid w:val="00620033"/>
    <w:rsid w:val="00624F57"/>
    <w:rsid w:val="00627637"/>
    <w:rsid w:val="006417A5"/>
    <w:rsid w:val="0065148F"/>
    <w:rsid w:val="006603C4"/>
    <w:rsid w:val="00661B8F"/>
    <w:rsid w:val="006631AF"/>
    <w:rsid w:val="00665AAD"/>
    <w:rsid w:val="006A1A26"/>
    <w:rsid w:val="006A2F7B"/>
    <w:rsid w:val="006B4154"/>
    <w:rsid w:val="006F0CBC"/>
    <w:rsid w:val="00702B13"/>
    <w:rsid w:val="0072469F"/>
    <w:rsid w:val="007363A8"/>
    <w:rsid w:val="00766DAA"/>
    <w:rsid w:val="00767CC1"/>
    <w:rsid w:val="00776C79"/>
    <w:rsid w:val="00795148"/>
    <w:rsid w:val="007D0DFF"/>
    <w:rsid w:val="007D69EC"/>
    <w:rsid w:val="007E76D4"/>
    <w:rsid w:val="008257F9"/>
    <w:rsid w:val="00847CAD"/>
    <w:rsid w:val="00860897"/>
    <w:rsid w:val="0086422D"/>
    <w:rsid w:val="008829C5"/>
    <w:rsid w:val="00892874"/>
    <w:rsid w:val="008D6EB6"/>
    <w:rsid w:val="008E01BF"/>
    <w:rsid w:val="00937055"/>
    <w:rsid w:val="00945DDA"/>
    <w:rsid w:val="00954260"/>
    <w:rsid w:val="00960A2C"/>
    <w:rsid w:val="00970425"/>
    <w:rsid w:val="009B00BF"/>
    <w:rsid w:val="009D20C5"/>
    <w:rsid w:val="009E1B60"/>
    <w:rsid w:val="009E4279"/>
    <w:rsid w:val="009F72A4"/>
    <w:rsid w:val="00A00288"/>
    <w:rsid w:val="00A227A8"/>
    <w:rsid w:val="00A55596"/>
    <w:rsid w:val="00A73B14"/>
    <w:rsid w:val="00AC0FD9"/>
    <w:rsid w:val="00AD63A2"/>
    <w:rsid w:val="00AF0F97"/>
    <w:rsid w:val="00AF10B5"/>
    <w:rsid w:val="00B00D12"/>
    <w:rsid w:val="00B1417A"/>
    <w:rsid w:val="00B1602F"/>
    <w:rsid w:val="00B22019"/>
    <w:rsid w:val="00B30A09"/>
    <w:rsid w:val="00B77DDB"/>
    <w:rsid w:val="00B8753C"/>
    <w:rsid w:val="00C04D76"/>
    <w:rsid w:val="00C236A3"/>
    <w:rsid w:val="00C64A84"/>
    <w:rsid w:val="00C910D3"/>
    <w:rsid w:val="00CD09B1"/>
    <w:rsid w:val="00D05817"/>
    <w:rsid w:val="00D126F1"/>
    <w:rsid w:val="00D31F4C"/>
    <w:rsid w:val="00D50967"/>
    <w:rsid w:val="00D908B1"/>
    <w:rsid w:val="00DB00F5"/>
    <w:rsid w:val="00DD0B3F"/>
    <w:rsid w:val="00E07CD9"/>
    <w:rsid w:val="00E1547C"/>
    <w:rsid w:val="00E51898"/>
    <w:rsid w:val="00E6345A"/>
    <w:rsid w:val="00E6402C"/>
    <w:rsid w:val="00EB4F0D"/>
    <w:rsid w:val="00EC5C87"/>
    <w:rsid w:val="00ED67ED"/>
    <w:rsid w:val="00EE1B67"/>
    <w:rsid w:val="00EF3B5C"/>
    <w:rsid w:val="00F02AEF"/>
    <w:rsid w:val="00F0566D"/>
    <w:rsid w:val="00F412B7"/>
    <w:rsid w:val="00F745B1"/>
    <w:rsid w:val="00F82234"/>
    <w:rsid w:val="00F8557C"/>
    <w:rsid w:val="00FA5C00"/>
    <w:rsid w:val="00FB2BCB"/>
    <w:rsid w:val="00FE3E0F"/>
    <w:rsid w:val="00FF2634"/>
    <w:rsid w:val="00FF2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12A1"/>
    <w:rPr>
      <w:rFonts w:eastAsia="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0212A1"/>
    <w:pPr>
      <w:tabs>
        <w:tab w:val="center" w:pos="4536"/>
        <w:tab w:val="right" w:pos="9072"/>
      </w:tabs>
    </w:pPr>
  </w:style>
  <w:style w:type="character" w:customStyle="1" w:styleId="ZpatChar">
    <w:name w:val="Zápatí Char"/>
    <w:basedOn w:val="Standardnpsmoodstavce"/>
    <w:link w:val="Zpat"/>
    <w:rsid w:val="000212A1"/>
    <w:rPr>
      <w:rFonts w:eastAsia="Times New Roman" w:cs="Times New Roman"/>
      <w:szCs w:val="24"/>
      <w:lang w:eastAsia="cs-CZ"/>
    </w:rPr>
  </w:style>
  <w:style w:type="character" w:styleId="slostrnky">
    <w:name w:val="page number"/>
    <w:basedOn w:val="Standardnpsmoodstavce"/>
    <w:rsid w:val="000212A1"/>
  </w:style>
  <w:style w:type="paragraph" w:styleId="Textpoznpodarou">
    <w:name w:val="footnote text"/>
    <w:basedOn w:val="Normln"/>
    <w:link w:val="TextpoznpodarouChar"/>
    <w:semiHidden/>
    <w:rsid w:val="000212A1"/>
    <w:rPr>
      <w:sz w:val="20"/>
      <w:szCs w:val="20"/>
    </w:rPr>
  </w:style>
  <w:style w:type="character" w:customStyle="1" w:styleId="TextpoznpodarouChar">
    <w:name w:val="Text pozn. pod čarou Char"/>
    <w:basedOn w:val="Standardnpsmoodstavce"/>
    <w:link w:val="Textpoznpodarou"/>
    <w:semiHidden/>
    <w:rsid w:val="000212A1"/>
    <w:rPr>
      <w:rFonts w:eastAsia="Times New Roman" w:cs="Times New Roman"/>
      <w:sz w:val="20"/>
      <w:szCs w:val="20"/>
      <w:lang w:eastAsia="cs-CZ"/>
    </w:rPr>
  </w:style>
  <w:style w:type="character" w:styleId="Znakapoznpodarou">
    <w:name w:val="footnote reference"/>
    <w:semiHidden/>
    <w:rsid w:val="000212A1"/>
    <w:rPr>
      <w:vertAlign w:val="superscript"/>
    </w:rPr>
  </w:style>
  <w:style w:type="paragraph" w:styleId="Zhlav">
    <w:name w:val="header"/>
    <w:basedOn w:val="Normln"/>
    <w:link w:val="ZhlavChar"/>
    <w:rsid w:val="000212A1"/>
    <w:pPr>
      <w:tabs>
        <w:tab w:val="center" w:pos="4536"/>
        <w:tab w:val="right" w:pos="9072"/>
      </w:tabs>
    </w:pPr>
  </w:style>
  <w:style w:type="character" w:customStyle="1" w:styleId="ZhlavChar">
    <w:name w:val="Záhlaví Char"/>
    <w:basedOn w:val="Standardnpsmoodstavce"/>
    <w:link w:val="Zhlav"/>
    <w:rsid w:val="000212A1"/>
    <w:rPr>
      <w:rFonts w:eastAsia="Times New Roman" w:cs="Times New Roman"/>
      <w:szCs w:val="24"/>
      <w:lang w:eastAsia="cs-CZ"/>
    </w:rPr>
  </w:style>
  <w:style w:type="paragraph" w:styleId="Odstavecseseznamem">
    <w:name w:val="List Paragraph"/>
    <w:basedOn w:val="Normln"/>
    <w:qFormat/>
    <w:rsid w:val="000212A1"/>
    <w:pPr>
      <w:ind w:left="720"/>
      <w:contextualSpacing/>
    </w:pPr>
  </w:style>
  <w:style w:type="table" w:styleId="Mkatabulky">
    <w:name w:val="Table Grid"/>
    <w:basedOn w:val="Normlntabulka"/>
    <w:uiPriority w:val="59"/>
    <w:rsid w:val="004A1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3726F"/>
    <w:rPr>
      <w:rFonts w:ascii="Tahoma" w:hAnsi="Tahoma" w:cs="Tahoma"/>
      <w:sz w:val="16"/>
      <w:szCs w:val="16"/>
    </w:rPr>
  </w:style>
  <w:style w:type="character" w:customStyle="1" w:styleId="TextbublinyChar">
    <w:name w:val="Text bubliny Char"/>
    <w:basedOn w:val="Standardnpsmoodstavce"/>
    <w:link w:val="Textbubliny"/>
    <w:uiPriority w:val="99"/>
    <w:semiHidden/>
    <w:rsid w:val="0023726F"/>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025FB"/>
    <w:rPr>
      <w:color w:val="0000FF" w:themeColor="hyperlink"/>
      <w:u w:val="single"/>
    </w:rPr>
  </w:style>
  <w:style w:type="paragraph" w:styleId="Normlnweb">
    <w:name w:val="Normal (Web)"/>
    <w:basedOn w:val="Normln"/>
    <w:unhideWhenUsed/>
    <w:rsid w:val="00847CAD"/>
    <w:pPr>
      <w:spacing w:before="100" w:beforeAutospacing="1" w:after="100" w:afterAutospacing="1"/>
    </w:pPr>
  </w:style>
  <w:style w:type="paragraph" w:customStyle="1" w:styleId="Default">
    <w:name w:val="Default"/>
    <w:rsid w:val="00847CAD"/>
    <w:pPr>
      <w:autoSpaceDE w:val="0"/>
      <w:autoSpaceDN w:val="0"/>
      <w:adjustRightInd w:val="0"/>
    </w:pPr>
    <w:rPr>
      <w:rFonts w:ascii="Arial" w:hAnsi="Arial" w:cs="Arial"/>
      <w:color w:val="000000"/>
      <w:szCs w:val="24"/>
    </w:rPr>
  </w:style>
  <w:style w:type="character" w:styleId="Zvraznn">
    <w:name w:val="Emphasis"/>
    <w:qFormat/>
    <w:rsid w:val="00847CAD"/>
    <w:rPr>
      <w:i/>
      <w:iCs/>
    </w:rPr>
  </w:style>
  <w:style w:type="character" w:customStyle="1" w:styleId="txt-red">
    <w:name w:val="txt-red"/>
    <w:rsid w:val="002E5A9D"/>
  </w:style>
  <w:style w:type="paragraph" w:styleId="Bezmezer">
    <w:name w:val="No Spacing"/>
    <w:uiPriority w:val="1"/>
    <w:qFormat/>
    <w:rsid w:val="003949A2"/>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12A1"/>
    <w:rPr>
      <w:rFonts w:eastAsia="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0212A1"/>
    <w:pPr>
      <w:tabs>
        <w:tab w:val="center" w:pos="4536"/>
        <w:tab w:val="right" w:pos="9072"/>
      </w:tabs>
    </w:pPr>
  </w:style>
  <w:style w:type="character" w:customStyle="1" w:styleId="ZpatChar">
    <w:name w:val="Zápatí Char"/>
    <w:basedOn w:val="Standardnpsmoodstavce"/>
    <w:link w:val="Zpat"/>
    <w:rsid w:val="000212A1"/>
    <w:rPr>
      <w:rFonts w:eastAsia="Times New Roman" w:cs="Times New Roman"/>
      <w:szCs w:val="24"/>
      <w:lang w:eastAsia="cs-CZ"/>
    </w:rPr>
  </w:style>
  <w:style w:type="character" w:styleId="slostrnky">
    <w:name w:val="page number"/>
    <w:basedOn w:val="Standardnpsmoodstavce"/>
    <w:rsid w:val="000212A1"/>
  </w:style>
  <w:style w:type="paragraph" w:styleId="Textpoznpodarou">
    <w:name w:val="footnote text"/>
    <w:basedOn w:val="Normln"/>
    <w:link w:val="TextpoznpodarouChar"/>
    <w:semiHidden/>
    <w:rsid w:val="000212A1"/>
    <w:rPr>
      <w:sz w:val="20"/>
      <w:szCs w:val="20"/>
    </w:rPr>
  </w:style>
  <w:style w:type="character" w:customStyle="1" w:styleId="TextpoznpodarouChar">
    <w:name w:val="Text pozn. pod čarou Char"/>
    <w:basedOn w:val="Standardnpsmoodstavce"/>
    <w:link w:val="Textpoznpodarou"/>
    <w:semiHidden/>
    <w:rsid w:val="000212A1"/>
    <w:rPr>
      <w:rFonts w:eastAsia="Times New Roman" w:cs="Times New Roman"/>
      <w:sz w:val="20"/>
      <w:szCs w:val="20"/>
      <w:lang w:eastAsia="cs-CZ"/>
    </w:rPr>
  </w:style>
  <w:style w:type="character" w:styleId="Znakapoznpodarou">
    <w:name w:val="footnote reference"/>
    <w:semiHidden/>
    <w:rsid w:val="000212A1"/>
    <w:rPr>
      <w:vertAlign w:val="superscript"/>
    </w:rPr>
  </w:style>
  <w:style w:type="paragraph" w:styleId="Zhlav">
    <w:name w:val="header"/>
    <w:basedOn w:val="Normln"/>
    <w:link w:val="ZhlavChar"/>
    <w:rsid w:val="000212A1"/>
    <w:pPr>
      <w:tabs>
        <w:tab w:val="center" w:pos="4536"/>
        <w:tab w:val="right" w:pos="9072"/>
      </w:tabs>
    </w:pPr>
  </w:style>
  <w:style w:type="character" w:customStyle="1" w:styleId="ZhlavChar">
    <w:name w:val="Záhlaví Char"/>
    <w:basedOn w:val="Standardnpsmoodstavce"/>
    <w:link w:val="Zhlav"/>
    <w:rsid w:val="000212A1"/>
    <w:rPr>
      <w:rFonts w:eastAsia="Times New Roman" w:cs="Times New Roman"/>
      <w:szCs w:val="24"/>
      <w:lang w:eastAsia="cs-CZ"/>
    </w:rPr>
  </w:style>
  <w:style w:type="paragraph" w:styleId="Odstavecseseznamem">
    <w:name w:val="List Paragraph"/>
    <w:basedOn w:val="Normln"/>
    <w:qFormat/>
    <w:rsid w:val="000212A1"/>
    <w:pPr>
      <w:ind w:left="720"/>
      <w:contextualSpacing/>
    </w:pPr>
  </w:style>
  <w:style w:type="table" w:styleId="Mkatabulky">
    <w:name w:val="Table Grid"/>
    <w:basedOn w:val="Normlntabulka"/>
    <w:uiPriority w:val="59"/>
    <w:rsid w:val="004A1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3726F"/>
    <w:rPr>
      <w:rFonts w:ascii="Tahoma" w:hAnsi="Tahoma" w:cs="Tahoma"/>
      <w:sz w:val="16"/>
      <w:szCs w:val="16"/>
    </w:rPr>
  </w:style>
  <w:style w:type="character" w:customStyle="1" w:styleId="TextbublinyChar">
    <w:name w:val="Text bubliny Char"/>
    <w:basedOn w:val="Standardnpsmoodstavce"/>
    <w:link w:val="Textbubliny"/>
    <w:uiPriority w:val="99"/>
    <w:semiHidden/>
    <w:rsid w:val="0023726F"/>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025FB"/>
    <w:rPr>
      <w:color w:val="0000FF" w:themeColor="hyperlink"/>
      <w:u w:val="single"/>
    </w:rPr>
  </w:style>
  <w:style w:type="paragraph" w:styleId="Normlnweb">
    <w:name w:val="Normal (Web)"/>
    <w:basedOn w:val="Normln"/>
    <w:unhideWhenUsed/>
    <w:rsid w:val="00847CAD"/>
    <w:pPr>
      <w:spacing w:before="100" w:beforeAutospacing="1" w:after="100" w:afterAutospacing="1"/>
    </w:pPr>
  </w:style>
  <w:style w:type="paragraph" w:customStyle="1" w:styleId="Default">
    <w:name w:val="Default"/>
    <w:rsid w:val="00847CAD"/>
    <w:pPr>
      <w:autoSpaceDE w:val="0"/>
      <w:autoSpaceDN w:val="0"/>
      <w:adjustRightInd w:val="0"/>
    </w:pPr>
    <w:rPr>
      <w:rFonts w:ascii="Arial" w:hAnsi="Arial" w:cs="Arial"/>
      <w:color w:val="000000"/>
      <w:szCs w:val="24"/>
    </w:rPr>
  </w:style>
  <w:style w:type="character" w:styleId="Zvraznn">
    <w:name w:val="Emphasis"/>
    <w:qFormat/>
    <w:rsid w:val="00847CAD"/>
    <w:rPr>
      <w:i/>
      <w:iCs/>
    </w:rPr>
  </w:style>
  <w:style w:type="character" w:customStyle="1" w:styleId="txt-red">
    <w:name w:val="txt-red"/>
    <w:rsid w:val="002E5A9D"/>
  </w:style>
  <w:style w:type="paragraph" w:styleId="Bezmezer">
    <w:name w:val="No Spacing"/>
    <w:uiPriority w:val="1"/>
    <w:qFormat/>
    <w:rsid w:val="003949A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0174">
      <w:bodyDiv w:val="1"/>
      <w:marLeft w:val="0"/>
      <w:marRight w:val="0"/>
      <w:marTop w:val="0"/>
      <w:marBottom w:val="0"/>
      <w:divBdr>
        <w:top w:val="none" w:sz="0" w:space="0" w:color="auto"/>
        <w:left w:val="none" w:sz="0" w:space="0" w:color="auto"/>
        <w:bottom w:val="none" w:sz="0" w:space="0" w:color="auto"/>
        <w:right w:val="none" w:sz="0" w:space="0" w:color="auto"/>
      </w:divBdr>
      <w:divsChild>
        <w:div w:id="1406143601">
          <w:marLeft w:val="0"/>
          <w:marRight w:val="0"/>
          <w:marTop w:val="0"/>
          <w:marBottom w:val="0"/>
          <w:divBdr>
            <w:top w:val="none" w:sz="0" w:space="0" w:color="auto"/>
            <w:left w:val="none" w:sz="0" w:space="0" w:color="auto"/>
            <w:bottom w:val="none" w:sz="0" w:space="0" w:color="auto"/>
            <w:right w:val="none" w:sz="0" w:space="0" w:color="auto"/>
          </w:divBdr>
        </w:div>
      </w:divsChild>
    </w:div>
    <w:div w:id="38622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f.cuni.cz/vyjezdni-seminar-z-obchodniho-prava-1404045896.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5A6C6-1540-4876-A32E-01209448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8924</Words>
  <Characters>52655</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61457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Katerina Dolejsi</cp:lastModifiedBy>
  <cp:revision>2</cp:revision>
  <cp:lastPrinted>2016-02-16T12:28:00Z</cp:lastPrinted>
  <dcterms:created xsi:type="dcterms:W3CDTF">2016-02-16T16:46:00Z</dcterms:created>
  <dcterms:modified xsi:type="dcterms:W3CDTF">2016-02-16T16:46:00Z</dcterms:modified>
</cp:coreProperties>
</file>