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484D" w14:textId="77777777" w:rsidR="009A3601" w:rsidRPr="009A3601" w:rsidRDefault="009A3601" w:rsidP="009A360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Univerzita Karlova v Praze</w:t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 Praze dne …….</w:t>
      </w:r>
    </w:p>
    <w:p w14:paraId="1D389541" w14:textId="77777777" w:rsidR="009A3601" w:rsidRPr="009A3601" w:rsidRDefault="009A3601" w:rsidP="009A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fakulta</w:t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PF/ …. /2014</w:t>
      </w:r>
    </w:p>
    <w:p w14:paraId="64357434" w14:textId="77777777" w:rsidR="009A3601" w:rsidRPr="009A3601" w:rsidRDefault="009A3601" w:rsidP="009A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B7EA25" w14:textId="77777777" w:rsidR="009A3601" w:rsidRPr="009A3601" w:rsidRDefault="009A3601" w:rsidP="009A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A36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Opatření děkana </w:t>
      </w:r>
      <w:proofErr w:type="gramStart"/>
      <w:r w:rsidRPr="009A36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</w:t>
      </w:r>
      <w:r w:rsidR="009D49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9A36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/2015</w:t>
      </w:r>
      <w:proofErr w:type="gramEnd"/>
    </w:p>
    <w:p w14:paraId="379E85ED" w14:textId="77777777" w:rsidR="009A3601" w:rsidRPr="009A3601" w:rsidRDefault="009A3601" w:rsidP="009A36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A36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které stanoví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podrobnosti elektronického z</w:t>
      </w:r>
      <w:r w:rsidRPr="009A36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ápis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u studentů </w:t>
      </w:r>
      <w:r w:rsidRPr="009A36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 dalšího ročníku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studia</w:t>
      </w:r>
    </w:p>
    <w:p w14:paraId="5784B1EF" w14:textId="77777777" w:rsidR="009A3601" w:rsidRPr="009A3601" w:rsidRDefault="009A3601" w:rsidP="009A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AAF9B0" w14:textId="77777777" w:rsidR="009A3601" w:rsidRPr="009A3601" w:rsidRDefault="00B35E26" w:rsidP="007B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provedení čl. 4 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Studijního a zkušebního řádu UK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ění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 děkan fakulty toto opatření, které stanoví </w:t>
      </w:r>
      <w:r w:rsidR="007A1A12" w:rsidRP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podrobnosti elektronického zápisu studentů do dalšího ročníku studia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39A2EF" w14:textId="77777777" w:rsidR="009A3601" w:rsidRPr="009A3601" w:rsidRDefault="009A3601" w:rsidP="009A3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2CAE66" w14:textId="77777777" w:rsidR="009A3601" w:rsidRPr="009A3601" w:rsidRDefault="009A3601" w:rsidP="009A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1</w:t>
      </w:r>
    </w:p>
    <w:p w14:paraId="552B5765" w14:textId="77777777" w:rsidR="009A3601" w:rsidRPr="009A3601" w:rsidRDefault="009A3601" w:rsidP="009A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Formy zápisu do dalšího ročníku studia</w:t>
      </w:r>
    </w:p>
    <w:p w14:paraId="7AC49D72" w14:textId="6CB028C0" w:rsidR="009A3601" w:rsidRPr="009A3601" w:rsidRDefault="009A3601" w:rsidP="009A36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</w:t>
      </w:r>
      <w:proofErr w:type="gramEnd"/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dalšího </w:t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akademického roku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vztahuje na </w:t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studenty, </w:t>
      </w:r>
      <w:proofErr w:type="gramStart"/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</w:t>
      </w:r>
      <w:proofErr w:type="gramEnd"/>
    </w:p>
    <w:p w14:paraId="63D923DC" w14:textId="32F9B803" w:rsidR="009A3601" w:rsidRPr="009A3601" w:rsidRDefault="006C32BA" w:rsidP="009A36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tudují </w:t>
      </w:r>
      <w:r w:rsid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program Právo a právní věda</w:t>
      </w:r>
      <w:r w:rsidR="004A0E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419C18" w14:textId="1108E93A" w:rsidR="009A3601" w:rsidRPr="009A3601" w:rsidRDefault="009A3601" w:rsidP="009A36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se zapisují</w:t>
      </w:r>
      <w:proofErr w:type="gramEnd"/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dalšího ročníku studia (nikoli tedy do první</w:t>
      </w:r>
      <w:r w:rsidR="003C1D2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ročník</w:t>
      </w:r>
      <w:r w:rsidR="003C1D2A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A0E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0E1126" w14:textId="37C896FE" w:rsidR="009A3601" w:rsidRDefault="009A3601" w:rsidP="009A36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nestudují podle individuálního studijního plánu</w:t>
      </w:r>
      <w:r w:rsidR="009D03F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122052" w14:textId="77777777" w:rsidR="009D03FD" w:rsidRDefault="006C32BA" w:rsidP="00D932E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nezapisují ke studiu po přerušení studia</w:t>
      </w:r>
      <w:r w:rsidR="00953A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14:paraId="1FB8C682" w14:textId="1DB5661A" w:rsidR="009D03FD" w:rsidRPr="00D932EA" w:rsidRDefault="009D03FD" w:rsidP="00D932E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získali takový počet kreditů za </w:t>
      </w:r>
      <w:r w:rsidRPr="00D932EA">
        <w:rPr>
          <w:rFonts w:ascii="Times New Roman" w:eastAsia="Times New Roman" w:hAnsi="Times New Roman" w:cs="Times New Roman"/>
          <w:sz w:val="24"/>
          <w:szCs w:val="24"/>
        </w:rPr>
        <w:t>absolvování volitelných p</w:t>
      </w:r>
      <w:r w:rsidRPr="00D932EA">
        <w:rPr>
          <w:rFonts w:ascii="Times New Roman" w:eastAsia="Times New Roman" w:hAnsi="Times New Roman" w:cs="Times New Roman" w:hint="eastAsia"/>
          <w:sz w:val="24"/>
          <w:szCs w:val="24"/>
        </w:rPr>
        <w:t>ř</w:t>
      </w:r>
      <w:r w:rsidRPr="00D932EA">
        <w:rPr>
          <w:rFonts w:ascii="Times New Roman" w:eastAsia="Times New Roman" w:hAnsi="Times New Roman" w:cs="Times New Roman"/>
          <w:sz w:val="24"/>
          <w:szCs w:val="24"/>
        </w:rPr>
        <w:t>edm</w:t>
      </w:r>
      <w:r w:rsidRPr="00D932EA">
        <w:rPr>
          <w:rFonts w:ascii="Times New Roman" w:eastAsia="Times New Roman" w:hAnsi="Times New Roman" w:cs="Times New Roman" w:hint="eastAsia"/>
          <w:sz w:val="24"/>
          <w:szCs w:val="24"/>
        </w:rPr>
        <w:t>ě</w:t>
      </w:r>
      <w:r w:rsidRPr="00D932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32EA">
        <w:rPr>
          <w:rFonts w:ascii="Times New Roman" w:eastAsia="Times New Roman" w:hAnsi="Times New Roman" w:cs="Times New Roman" w:hint="eastAsia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>, že pro splnění podmínek pro zápis do dalšího ročníku není třeba rozhodnutí děkana o započítání kreditů dle studijních předpisů.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45EF13B9" w14:textId="77777777" w:rsidR="009A3601" w:rsidRPr="009A3601" w:rsidRDefault="009A3601" w:rsidP="00411D6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47818" w14:textId="77777777" w:rsidR="009A3601" w:rsidRDefault="009A3601" w:rsidP="00411D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Studenti, jichž se netýká elektronický zápis podle čl. 1 odst. 1, absolvují zápis do</w:t>
      </w:r>
      <w:r w:rsidR="00411D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D62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dalšího ročníku formou individuální kontroly a listinného zápisu na studijním oddělení.</w:t>
      </w:r>
    </w:p>
    <w:p w14:paraId="15103366" w14:textId="77777777" w:rsidR="00411D62" w:rsidRPr="00411D62" w:rsidRDefault="00411D62" w:rsidP="00411D6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907B24" w14:textId="77777777" w:rsidR="00411D62" w:rsidRPr="00411D62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2 </w:t>
      </w:r>
    </w:p>
    <w:p w14:paraId="26D0D890" w14:textId="5CD60BDF" w:rsidR="009A3601" w:rsidRPr="00411D62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Podmínky pro </w:t>
      </w:r>
      <w:r w:rsidR="00A500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elektronický </w:t>
      </w: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 do dalšího ročníku</w:t>
      </w:r>
    </w:p>
    <w:p w14:paraId="2C95896A" w14:textId="77777777" w:rsidR="00D932EA" w:rsidRDefault="00D932EA" w:rsidP="00D932E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F9D6E7" w14:textId="7FC58218" w:rsidR="006C2C21" w:rsidRPr="00843878" w:rsidRDefault="006C2C21" w:rsidP="00D932E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Studenta nelze </w:t>
      </w:r>
      <w:r w:rsidR="00A5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</w:t>
      </w:r>
      <w:r w:rsidRPr="00843878">
        <w:rPr>
          <w:rFonts w:ascii="Times New Roman" w:eastAsia="Times New Roman" w:hAnsi="Times New Roman" w:cs="Times New Roman"/>
          <w:sz w:val="24"/>
          <w:szCs w:val="24"/>
          <w:lang w:eastAsia="cs-CZ"/>
        </w:rPr>
        <w:t>zapsat do dalšího ročníku, pokud nesplňuje podmínky pro zápis do dalšího ročníku studia dle studijních předpisů.</w:t>
      </w:r>
      <w:r w:rsidR="00D932EA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</w:p>
    <w:p w14:paraId="2FB65E25" w14:textId="77777777" w:rsidR="009D4952" w:rsidRDefault="009D4952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599AF00" w14:textId="77777777" w:rsidR="00B35E26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3 </w:t>
      </w:r>
    </w:p>
    <w:p w14:paraId="53DB8977" w14:textId="77777777" w:rsidR="009A3601" w:rsidRPr="00411D62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elektronického zápisu</w:t>
      </w:r>
    </w:p>
    <w:p w14:paraId="28356B61" w14:textId="7777777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provede ve webovém rozhraní SIS v aplikaci „Výsledky zkoušek“ kontrolu</w:t>
      </w:r>
      <w:r w:rsid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získaných kreditů.</w:t>
      </w:r>
    </w:p>
    <w:p w14:paraId="24653737" w14:textId="7777777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kontrola proběhne úspěšně, student stisknutím tlačítka „Podat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žádost“ ve webovém rozhraní SIS podá závaznou žádost o postup do dalšího úseku studia.</w:t>
      </w:r>
    </w:p>
    <w:p w14:paraId="5A03FDB0" w14:textId="7777777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Studijní referentka nejpozději do </w:t>
      </w:r>
      <w:r w:rsidR="008D0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dnů ověří splnění podmínek pro postup do dalšího ročníku a převede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studenta do nového studijního stavu. Převedením do nového studijního stavu je student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zapsán do nového ročníku.</w:t>
      </w:r>
    </w:p>
    <w:p w14:paraId="6628386E" w14:textId="1203228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student zjistí, že nebyl do </w:t>
      </w:r>
      <w:r w:rsidR="008D0FC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D0FC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dnů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podání žádosti </w:t>
      </w:r>
      <w:r w:rsidR="00A00D5B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webovém rozhraní SIS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převeden do nového studijního stavu, kontaktuje neprodleně e-mailem svou studijní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referentku a vedoucí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studijního oddělení.</w:t>
      </w:r>
    </w:p>
    <w:p w14:paraId="3009B897" w14:textId="7777777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převedení proběhne úspěšně, student zkontroluje, zda všechny položky v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aplikaci „Osobní údaje“ odpovídají skutečnosti a zda je správně vyplněn kontaktní e-mail, a vytiskne si z aplikace „Osobní údaje“ v SIS svůj „Evidenční list“.</w:t>
      </w:r>
    </w:p>
    <w:p w14:paraId="7FFB5085" w14:textId="77777777" w:rsidR="009A3601" w:rsidRPr="007B2FEE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Vytištěný a vlastnoručně podepsaný „Evidenční list“ student odevzdá na studijní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kdykoli </w:t>
      </w:r>
      <w:r w:rsidR="00AD7FAD">
        <w:rPr>
          <w:rFonts w:ascii="Times New Roman" w:eastAsia="Times New Roman" w:hAnsi="Times New Roman" w:cs="Times New Roman"/>
          <w:sz w:val="24"/>
          <w:szCs w:val="24"/>
          <w:lang w:eastAsia="cs-CZ"/>
        </w:rPr>
        <w:t>do začátku vánočních prázdnin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eprve 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odevzdání Evidenčního listu však může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obdrž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potvrzení o studiu, kupón na kartu ISIC a případně další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požadovaná potvrzení</w:t>
      </w:r>
      <w:r w:rsidR="006C3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 s jeho studijním stavem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4CEC16" w14:textId="1AF39DD4" w:rsidR="009A3601" w:rsidRDefault="009A3601" w:rsidP="007B2F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Podrobný návod na provedení elektronického zápisu je zveřejněn na stránkách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fakulty ().V případě</w:t>
      </w:r>
      <w:proofErr w:type="gramEnd"/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kontrola počtu získaných kreditů neproběhne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úspěšně, ale student je přesvědčen, že potřebného počtu dosáhl, postupuje podle tohoto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návodu (kapitola Řešení problémů).</w:t>
      </w:r>
    </w:p>
    <w:p w14:paraId="0D09E5E1" w14:textId="77777777" w:rsidR="007B2FEE" w:rsidRPr="007B2FEE" w:rsidRDefault="007B2FEE" w:rsidP="007B2FE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C4B311" w14:textId="77777777" w:rsidR="00B35E26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B35E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8167435" w14:textId="77777777" w:rsidR="009A3601" w:rsidRPr="00411D62" w:rsidRDefault="009A3601" w:rsidP="0041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1D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Harmonogram elektronického zápisu</w:t>
      </w:r>
    </w:p>
    <w:p w14:paraId="2074F7B6" w14:textId="0EFA7D26" w:rsidR="009A3601" w:rsidRDefault="009A3601" w:rsidP="007369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postup do dalšího ročníku výše popsaným způsobem (viz čl. 3, odst. 2) je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8D3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možné podat od 1. 6</w:t>
      </w:r>
      <w:r w:rsidR="00325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</w:t>
      </w:r>
      <w:r w:rsidR="00A238F9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325A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7. a od 27. 8.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736906" w:rsidRPr="00736906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den zkouškového období v akademickém roce</w:t>
      </w:r>
      <w:r w:rsidR="007369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účely postupu do dalšího ročníku budou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započítány pouze atestace splněné</w:t>
      </w:r>
      <w:r w:rsidR="00E94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(nebo uznané za splněné)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a zapsané do SIS do tohoto data.</w:t>
      </w:r>
    </w:p>
    <w:p w14:paraId="424FCE85" w14:textId="39CC074D" w:rsidR="00E948D3" w:rsidRDefault="00A00D5B" w:rsidP="007369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Studenti, kteří nesplnil</w:t>
      </w:r>
      <w:r w:rsidR="0062461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pro zápis, nebo nepodali žádost o zápis v SIS nejpozději </w:t>
      </w:r>
      <w:r w:rsidR="00736906" w:rsidRPr="00736906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den zkouškového období v akademickém roce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94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nebudou mít možnost zapisovat si předměty v prvním možném okamžiku zápisu a budou tak moci učinit až poté, kdy budou řádně z</w:t>
      </w:r>
      <w:r w:rsidR="00B35E2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E94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psáni do dalšího ročníku. </w:t>
      </w:r>
    </w:p>
    <w:p w14:paraId="0AB29026" w14:textId="533B784E" w:rsidR="007B2FEE" w:rsidRDefault="007B2FEE" w:rsidP="007369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Studenti, </w:t>
      </w:r>
      <w:r w:rsidR="00A00D5B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bookmarkStart w:id="0" w:name="_GoBack"/>
      <w:bookmarkEnd w:id="0"/>
      <w:r w:rsidR="00A00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eří nepodají žádost o </w:t>
      </w:r>
      <w:r w:rsidR="00132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v SIS </w:t>
      </w:r>
      <w:r w:rsidR="00A00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="00736906" w:rsidRPr="00736906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den zkouškového období v akademickém roce</w:t>
      </w:r>
      <w:r w:rsidR="00A00D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0D5B" w:rsidDel="00A00D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mohou zapsat v náhradním termínu zápisu, který bude </w:t>
      </w:r>
      <w:r w:rsidR="00B35E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zahájen </w:t>
      </w:r>
      <w:r w:rsidR="002649FD">
        <w:rPr>
          <w:rFonts w:ascii="Times New Roman" w:eastAsia="Times New Roman" w:hAnsi="Times New Roman" w:cs="Times New Roman"/>
          <w:sz w:val="24"/>
          <w:szCs w:val="24"/>
          <w:lang w:eastAsia="cs-CZ"/>
        </w:rPr>
        <w:t>po uplynutí dvou</w:t>
      </w:r>
      <w:r w:rsidR="00B71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</w:t>
      </w:r>
      <w:r w:rsidR="00264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zápisu předmětů a ukončen po uplynutí 10 pracovních dnů</w:t>
      </w:r>
      <w:r w:rsidR="00B71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zahájení náhradního zápisu. </w:t>
      </w:r>
    </w:p>
    <w:p w14:paraId="7F50AE62" w14:textId="77777777" w:rsidR="009A3601" w:rsidRDefault="009A3601" w:rsidP="007B2F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student nepožádá o postup do dalšího ročníku ani v tomto náhradním</w:t>
      </w:r>
      <w:r w:rsidR="007B2FEE"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B35E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</w:t>
      </w:r>
      <w:r w:rsidRPr="007B2FEE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mu ukončeno studium.</w:t>
      </w:r>
    </w:p>
    <w:p w14:paraId="3145D469" w14:textId="57945ADA" w:rsidR="001D058A" w:rsidRPr="007B2FEE" w:rsidRDefault="00613132" w:rsidP="007B2F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jednotlivých fází elektronického zápisu děkan</w:t>
      </w:r>
      <w:r w:rsidR="004A0E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vyhlásí v opatření, kterým stanoví harmonogram</w:t>
      </w:r>
      <w:r w:rsidR="00A5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příslušného akademického roku.</w:t>
      </w:r>
    </w:p>
    <w:p w14:paraId="6972FC9D" w14:textId="77777777" w:rsidR="00B35E26" w:rsidRDefault="00B35E26" w:rsidP="001329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1F317" w14:textId="77777777" w:rsidR="00B35E26" w:rsidRDefault="00B35E26" w:rsidP="0013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26">
        <w:rPr>
          <w:rFonts w:ascii="Times New Roman" w:hAnsi="Times New Roman" w:cs="Times New Roman"/>
          <w:b/>
          <w:sz w:val="24"/>
          <w:szCs w:val="24"/>
        </w:rPr>
        <w:t>Čl</w:t>
      </w:r>
      <w:r w:rsidR="006C2C21">
        <w:rPr>
          <w:rFonts w:ascii="Times New Roman" w:hAnsi="Times New Roman" w:cs="Times New Roman"/>
          <w:b/>
          <w:sz w:val="24"/>
          <w:szCs w:val="24"/>
        </w:rPr>
        <w:t>.</w:t>
      </w:r>
      <w:r w:rsidRPr="00B35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3E606B5B" w14:textId="3DA7EB3C" w:rsidR="002649FD" w:rsidRDefault="002649FD" w:rsidP="0013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Přechodné ustanovení</w:t>
      </w:r>
    </w:p>
    <w:p w14:paraId="6DF83090" w14:textId="643ED5FE" w:rsidR="002649FD" w:rsidRPr="001329B8" w:rsidRDefault="002649FD" w:rsidP="001329B8">
      <w:pPr>
        <w:pStyle w:val="Textpoznpodarou"/>
        <w:jc w:val="both"/>
        <w:rPr>
          <w:rFonts w:ascii="Times New Roman" w:hAnsi="Times New Roman" w:cs="Times New Roman"/>
        </w:rPr>
      </w:pPr>
      <w:r w:rsidRPr="001329B8">
        <w:rPr>
          <w:rFonts w:ascii="Times New Roman" w:hAnsi="Times New Roman" w:cs="Times New Roman"/>
        </w:rPr>
        <w:t>Při zápisu studentů v akademickém roce 2015/2016 přizná děkan pro započítání volitelných předmětů pro účely této průběžné kontroly i kredity, které přesahují šestnáct procent získaných studentem za absolvování volitelných předmětů vůči normálnímu počtu kreditů příslušnému dané průběžné kontrole studia.</w:t>
      </w:r>
    </w:p>
    <w:p w14:paraId="3FE27B29" w14:textId="77777777" w:rsidR="001329B8" w:rsidRDefault="001329B8" w:rsidP="0013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264BB" w14:textId="563D9596" w:rsidR="002649FD" w:rsidRDefault="002649FD" w:rsidP="0013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26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35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26F55DE" w14:textId="13B6AEB9" w:rsidR="002649FD" w:rsidRDefault="00736906" w:rsidP="0013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Závěrečné </w:t>
      </w:r>
      <w:r w:rsidR="002649F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  <w:proofErr w:type="gramEnd"/>
    </w:p>
    <w:p w14:paraId="00B5AF7E" w14:textId="77777777" w:rsidR="004319F8" w:rsidRDefault="004319F8" w:rsidP="001329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7B451" w14:textId="6E9B9C0C" w:rsidR="00B35E26" w:rsidRPr="00B35E26" w:rsidRDefault="00B35E26" w:rsidP="0013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E26">
        <w:rPr>
          <w:rFonts w:ascii="Times New Roman" w:hAnsi="Times New Roman" w:cs="Times New Roman"/>
          <w:sz w:val="24"/>
          <w:szCs w:val="24"/>
        </w:rPr>
        <w:t xml:space="preserve">Toto opatření nabývá účinnosti dne 1. </w:t>
      </w:r>
      <w:r w:rsidR="007A1A12">
        <w:rPr>
          <w:rFonts w:ascii="Times New Roman" w:hAnsi="Times New Roman" w:cs="Times New Roman"/>
          <w:sz w:val="24"/>
          <w:szCs w:val="24"/>
        </w:rPr>
        <w:t>června</w:t>
      </w:r>
      <w:r w:rsidRPr="00B35E26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3FAE2370" w14:textId="77777777" w:rsidR="001329B8" w:rsidRDefault="001329B8" w:rsidP="001329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10F17" w14:textId="77777777" w:rsidR="00B35E26" w:rsidRPr="00B35E26" w:rsidRDefault="00B35E26" w:rsidP="004319F8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E2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EDCCD52" w14:textId="77777777" w:rsidR="00B35E26" w:rsidRPr="00B35E26" w:rsidRDefault="00B35E26" w:rsidP="004319F8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E26">
        <w:rPr>
          <w:rFonts w:ascii="Times New Roman" w:hAnsi="Times New Roman" w:cs="Times New Roman"/>
          <w:sz w:val="24"/>
          <w:szCs w:val="24"/>
        </w:rPr>
        <w:t>Prof. JUDr. Jan Kuklík, DrSc.</w:t>
      </w:r>
    </w:p>
    <w:p w14:paraId="47BD8A6C" w14:textId="77777777" w:rsidR="00B35E26" w:rsidRPr="00B35E26" w:rsidRDefault="00B35E26" w:rsidP="004319F8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E26">
        <w:rPr>
          <w:rFonts w:ascii="Times New Roman" w:hAnsi="Times New Roman" w:cs="Times New Roman"/>
          <w:sz w:val="24"/>
          <w:szCs w:val="24"/>
        </w:rPr>
        <w:t xml:space="preserve">    děkan </w:t>
      </w:r>
    </w:p>
    <w:sectPr w:rsidR="00B35E26" w:rsidRPr="00B35E26" w:rsidSect="001329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E06F" w14:textId="77777777" w:rsidR="009D03FD" w:rsidRDefault="009D03FD" w:rsidP="009D03FD">
      <w:pPr>
        <w:spacing w:after="0" w:line="240" w:lineRule="auto"/>
      </w:pPr>
      <w:r>
        <w:separator/>
      </w:r>
    </w:p>
  </w:endnote>
  <w:endnote w:type="continuationSeparator" w:id="0">
    <w:p w14:paraId="6E260C37" w14:textId="77777777" w:rsidR="009D03FD" w:rsidRDefault="009D03FD" w:rsidP="009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2BAF" w14:textId="77777777" w:rsidR="009D03FD" w:rsidRDefault="009D03FD" w:rsidP="009D03FD">
      <w:pPr>
        <w:spacing w:after="0" w:line="240" w:lineRule="auto"/>
      </w:pPr>
      <w:r>
        <w:separator/>
      </w:r>
    </w:p>
  </w:footnote>
  <w:footnote w:type="continuationSeparator" w:id="0">
    <w:p w14:paraId="1DC507B6" w14:textId="77777777" w:rsidR="009D03FD" w:rsidRDefault="009D03FD" w:rsidP="009D03FD">
      <w:pPr>
        <w:spacing w:after="0" w:line="240" w:lineRule="auto"/>
      </w:pPr>
      <w:r>
        <w:continuationSeparator/>
      </w:r>
    </w:p>
  </w:footnote>
  <w:footnote w:id="1">
    <w:p w14:paraId="531ABA54" w14:textId="340AFEF7" w:rsidR="009D03FD" w:rsidRPr="001329B8" w:rsidRDefault="009D03FD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1329B8">
        <w:rPr>
          <w:rFonts w:ascii="Times New Roman" w:hAnsi="Times New Roman" w:cs="Times New Roman"/>
          <w:sz w:val="16"/>
          <w:szCs w:val="16"/>
        </w:rPr>
        <w:t xml:space="preserve"> Čl. 3 Pravidel pro organizaci studia na Právnické fakultě Univerzity Karlovy v Praze.</w:t>
      </w:r>
    </w:p>
  </w:footnote>
  <w:footnote w:id="2">
    <w:p w14:paraId="55515280" w14:textId="29C4623D" w:rsidR="00A00D5B" w:rsidRPr="001329B8" w:rsidRDefault="00D932EA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1329B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00D5B" w:rsidRPr="001329B8">
        <w:rPr>
          <w:rFonts w:ascii="Times New Roman" w:hAnsi="Times New Roman" w:cs="Times New Roman"/>
          <w:sz w:val="16"/>
          <w:szCs w:val="16"/>
        </w:rPr>
        <w:t>Čl.3</w:t>
      </w:r>
      <w:r w:rsidR="001329B8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1329B8">
        <w:rPr>
          <w:rFonts w:ascii="Times New Roman" w:hAnsi="Times New Roman" w:cs="Times New Roman"/>
          <w:sz w:val="16"/>
          <w:szCs w:val="16"/>
        </w:rPr>
        <w:t>čl</w:t>
      </w:r>
      <w:proofErr w:type="spellEnd"/>
      <w:proofErr w:type="gramEnd"/>
      <w:r w:rsidR="001329B8">
        <w:rPr>
          <w:rFonts w:ascii="Times New Roman" w:hAnsi="Times New Roman" w:cs="Times New Roman"/>
          <w:sz w:val="16"/>
          <w:szCs w:val="16"/>
        </w:rPr>
        <w:t xml:space="preserve"> 4</w:t>
      </w:r>
      <w:r w:rsidR="001329B8" w:rsidRPr="001329B8">
        <w:rPr>
          <w:rFonts w:ascii="Times New Roman" w:hAnsi="Times New Roman" w:cs="Times New Roman"/>
          <w:sz w:val="16"/>
          <w:szCs w:val="16"/>
        </w:rPr>
        <w:t xml:space="preserve"> </w:t>
      </w:r>
      <w:r w:rsidR="001329B8" w:rsidRPr="005841F0">
        <w:rPr>
          <w:rFonts w:ascii="Times New Roman" w:hAnsi="Times New Roman" w:cs="Times New Roman"/>
          <w:sz w:val="16"/>
          <w:szCs w:val="16"/>
        </w:rPr>
        <w:t>Pravidel pro organizaci studia na Právnické fak</w:t>
      </w:r>
      <w:r w:rsidR="001329B8">
        <w:rPr>
          <w:rFonts w:ascii="Times New Roman" w:hAnsi="Times New Roman" w:cs="Times New Roman"/>
          <w:sz w:val="16"/>
          <w:szCs w:val="16"/>
        </w:rPr>
        <w:t>ultě Univerzity Karlovy v Praze stanov</w:t>
      </w:r>
      <w:r w:rsidR="003B5462">
        <w:rPr>
          <w:rFonts w:ascii="Times New Roman" w:hAnsi="Times New Roman" w:cs="Times New Roman"/>
          <w:sz w:val="16"/>
          <w:szCs w:val="16"/>
        </w:rPr>
        <w:t>í</w:t>
      </w:r>
      <w:r w:rsidR="001329B8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14EC4E14" w14:textId="2BD6E2C0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Podíl kreditů za volitelné předměty pro průběžnou kontrolu studia</w:t>
      </w:r>
    </w:p>
    <w:p w14:paraId="5BEEF598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Podíl kreditů získaných studentem za absolvování volitelných předmětů vůči normálnímu počtu kreditů příslušnému dané průběžné kontrole studia, nad jehož rámec o započítání volitelných předmětů pro účely této průběžné kontroly rozhoduje děkan, tvoří šestnáct procent.</w:t>
      </w:r>
    </w:p>
    <w:p w14:paraId="7950C173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Čl. 4</w:t>
      </w:r>
    </w:p>
    <w:p w14:paraId="2A1A54EF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Minimální počty kreditů</w:t>
      </w:r>
    </w:p>
    <w:p w14:paraId="15438F72" w14:textId="1B400ED9" w:rsidR="00A00D5B" w:rsidRPr="001329B8" w:rsidRDefault="001329B8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 w:rsidDel="001329B8">
        <w:rPr>
          <w:rFonts w:ascii="Times New Roman" w:hAnsi="Times New Roman" w:cs="Times New Roman"/>
          <w:sz w:val="16"/>
          <w:szCs w:val="16"/>
        </w:rPr>
        <w:t xml:space="preserve"> </w:t>
      </w:r>
      <w:r w:rsidR="00A00D5B" w:rsidRPr="001329B8">
        <w:rPr>
          <w:rFonts w:ascii="Times New Roman" w:hAnsi="Times New Roman" w:cs="Times New Roman"/>
          <w:sz w:val="16"/>
          <w:szCs w:val="16"/>
        </w:rPr>
        <w:t>(1) Minimální počty kreditů nutné pro zápis do dalšího úseku studia ve studijním programu jsou</w:t>
      </w:r>
    </w:p>
    <w:p w14:paraId="5BE2D2E4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a) 60 kreditů pro zápis do druhého úseku studia,</w:t>
      </w:r>
    </w:p>
    <w:p w14:paraId="27C163CC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b) 110 kreditů pro zápis do třetího úseku studia,</w:t>
      </w:r>
    </w:p>
    <w:p w14:paraId="411E6353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c) 160 kreditů pro zápis do čtvrtého úseku studia,</w:t>
      </w:r>
    </w:p>
    <w:p w14:paraId="45D5354D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d) 210 kreditů pro zápis do pátého úseku studia,</w:t>
      </w:r>
    </w:p>
    <w:p w14:paraId="1F6AB61F" w14:textId="77777777" w:rsidR="00A00D5B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e) 260 kreditů pro zápis do šestého až desátého úseku studia.</w:t>
      </w:r>
    </w:p>
    <w:p w14:paraId="571CC3B6" w14:textId="5BD9935C" w:rsidR="00D932EA" w:rsidRPr="001329B8" w:rsidRDefault="00A00D5B" w:rsidP="001329B8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1329B8">
        <w:rPr>
          <w:rFonts w:ascii="Times New Roman" w:hAnsi="Times New Roman" w:cs="Times New Roman"/>
          <w:sz w:val="16"/>
          <w:szCs w:val="16"/>
        </w:rPr>
        <w:t>(2) Opakovaný zápis do dalšího úseku studia na základě získání pouze minimálního počtu kreditů studia se vylučuje, jde-li o opakování bezprostředně po sobě. Ustanovení předchozí věty se nepoužije, jde-li o zápis do úseku studia nad rámec standardní doby studia.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61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B603FB"/>
    <w:multiLevelType w:val="hybridMultilevel"/>
    <w:tmpl w:val="BD947F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6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3A43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AAC6A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01"/>
    <w:rsid w:val="00026612"/>
    <w:rsid w:val="00127EB2"/>
    <w:rsid w:val="001329B8"/>
    <w:rsid w:val="001D058A"/>
    <w:rsid w:val="002649FD"/>
    <w:rsid w:val="00325A82"/>
    <w:rsid w:val="003B5462"/>
    <w:rsid w:val="003C1D2A"/>
    <w:rsid w:val="00411D62"/>
    <w:rsid w:val="004319F8"/>
    <w:rsid w:val="004A0EED"/>
    <w:rsid w:val="004B01D3"/>
    <w:rsid w:val="00613132"/>
    <w:rsid w:val="00624614"/>
    <w:rsid w:val="006A439C"/>
    <w:rsid w:val="006C2C21"/>
    <w:rsid w:val="006C32BA"/>
    <w:rsid w:val="00736906"/>
    <w:rsid w:val="007A1A12"/>
    <w:rsid w:val="007B2FEE"/>
    <w:rsid w:val="0080790A"/>
    <w:rsid w:val="00811A0F"/>
    <w:rsid w:val="00843878"/>
    <w:rsid w:val="008D0FCE"/>
    <w:rsid w:val="008D1403"/>
    <w:rsid w:val="00953AD3"/>
    <w:rsid w:val="009A3601"/>
    <w:rsid w:val="009D03FD"/>
    <w:rsid w:val="009D4952"/>
    <w:rsid w:val="00A00D5B"/>
    <w:rsid w:val="00A01DF6"/>
    <w:rsid w:val="00A238F9"/>
    <w:rsid w:val="00A41CDB"/>
    <w:rsid w:val="00A5001F"/>
    <w:rsid w:val="00A57D66"/>
    <w:rsid w:val="00AD7FAD"/>
    <w:rsid w:val="00B35E26"/>
    <w:rsid w:val="00B717B4"/>
    <w:rsid w:val="00CE7951"/>
    <w:rsid w:val="00D932EA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FE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text"/>
    <w:basedOn w:val="Normln"/>
    <w:rsid w:val="004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1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FE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4387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03FD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03FD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9D03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text"/>
    <w:basedOn w:val="Normln"/>
    <w:rsid w:val="004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1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FE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4387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03FD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03FD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9D0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E054-F5D7-4BE9-B7DB-E3A9E90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Karel Beran</cp:lastModifiedBy>
  <cp:revision>5</cp:revision>
  <dcterms:created xsi:type="dcterms:W3CDTF">2015-03-26T10:23:00Z</dcterms:created>
  <dcterms:modified xsi:type="dcterms:W3CDTF">2015-03-26T10:42:00Z</dcterms:modified>
</cp:coreProperties>
</file>