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35E00" w14:textId="77777777" w:rsidR="00164E1F" w:rsidRPr="00806AF6" w:rsidRDefault="008F01D1" w:rsidP="0083507A">
      <w:pPr>
        <w:spacing w:line="408" w:lineRule="auto"/>
        <w:jc w:val="center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BILANČNÍ ZPRÁVA</w:t>
      </w:r>
    </w:p>
    <w:p w14:paraId="3B39F4AD" w14:textId="77777777" w:rsidR="00806AF6" w:rsidRDefault="00806AF6" w:rsidP="0083507A">
      <w:pPr>
        <w:spacing w:line="408" w:lineRule="auto"/>
        <w:jc w:val="center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o u</w:t>
      </w:r>
      <w:r w:rsidR="008F01D1" w:rsidRPr="00806AF6">
        <w:rPr>
          <w:rFonts w:cs="Courier New"/>
          <w:sz w:val="24"/>
          <w:szCs w:val="24"/>
        </w:rPr>
        <w:t xml:space="preserve">skutečňování </w:t>
      </w:r>
      <w:r>
        <w:rPr>
          <w:rFonts w:cs="Courier New"/>
          <w:sz w:val="24"/>
          <w:szCs w:val="24"/>
        </w:rPr>
        <w:t>P</w:t>
      </w:r>
      <w:r w:rsidR="008F01D1" w:rsidRPr="00806AF6">
        <w:rPr>
          <w:rFonts w:cs="Courier New"/>
          <w:sz w:val="24"/>
          <w:szCs w:val="24"/>
        </w:rPr>
        <w:t xml:space="preserve">rogramu rozvoje vědních oblastí </w:t>
      </w:r>
    </w:p>
    <w:p w14:paraId="396C600C" w14:textId="77777777" w:rsidR="008F01D1" w:rsidRPr="00806AF6" w:rsidRDefault="00806AF6" w:rsidP="0083507A">
      <w:pPr>
        <w:spacing w:line="408" w:lineRule="auto"/>
        <w:jc w:val="center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na Univerzitě Karlově (PRVOUK </w:t>
      </w:r>
      <w:r w:rsidR="008F01D1" w:rsidRPr="00806AF6">
        <w:rPr>
          <w:rFonts w:cs="Courier New"/>
          <w:sz w:val="24"/>
          <w:szCs w:val="24"/>
        </w:rPr>
        <w:t>05</w:t>
      </w:r>
      <w:r>
        <w:rPr>
          <w:rFonts w:cs="Courier New"/>
          <w:sz w:val="24"/>
          <w:szCs w:val="24"/>
        </w:rPr>
        <w:t>)</w:t>
      </w:r>
      <w:r w:rsidR="008F01D1" w:rsidRPr="00806AF6">
        <w:rPr>
          <w:rFonts w:cs="Courier New"/>
          <w:sz w:val="24"/>
          <w:szCs w:val="24"/>
        </w:rPr>
        <w:t xml:space="preserve"> za období let 2012 a 2013</w:t>
      </w:r>
    </w:p>
    <w:p w14:paraId="0DAD85FA" w14:textId="77777777" w:rsidR="008F01D1" w:rsidRDefault="008F01D1" w:rsidP="0083507A">
      <w:pPr>
        <w:spacing w:line="408" w:lineRule="auto"/>
        <w:jc w:val="center"/>
        <w:rPr>
          <w:rFonts w:cs="Courier New"/>
          <w:b/>
          <w:sz w:val="24"/>
          <w:szCs w:val="24"/>
        </w:rPr>
      </w:pPr>
      <w:r w:rsidRPr="00806AF6">
        <w:rPr>
          <w:rFonts w:cs="Courier New"/>
          <w:b/>
          <w:sz w:val="24"/>
          <w:szCs w:val="24"/>
        </w:rPr>
        <w:t>Centrum právní komparatistiky</w:t>
      </w:r>
    </w:p>
    <w:p w14:paraId="54F98496" w14:textId="77777777" w:rsidR="00806AF6" w:rsidRPr="00806AF6" w:rsidRDefault="00806AF6" w:rsidP="0083507A">
      <w:pPr>
        <w:spacing w:line="408" w:lineRule="auto"/>
        <w:jc w:val="center"/>
        <w:rPr>
          <w:rFonts w:cs="Courier New"/>
          <w:b/>
          <w:sz w:val="24"/>
          <w:szCs w:val="24"/>
        </w:rPr>
      </w:pPr>
    </w:p>
    <w:p w14:paraId="03605440" w14:textId="10CE98F0" w:rsidR="008F01D1" w:rsidRPr="00932C61" w:rsidRDefault="008F01D1" w:rsidP="008F01D1">
      <w:pPr>
        <w:pStyle w:val="Odstavecseseznamem"/>
        <w:numPr>
          <w:ilvl w:val="0"/>
          <w:numId w:val="1"/>
        </w:numPr>
        <w:spacing w:line="408" w:lineRule="auto"/>
        <w:jc w:val="both"/>
        <w:rPr>
          <w:rFonts w:cs="Courier New"/>
          <w:b/>
          <w:sz w:val="24"/>
          <w:szCs w:val="24"/>
          <w:u w:val="single"/>
        </w:rPr>
      </w:pPr>
      <w:r w:rsidRPr="00932C61">
        <w:rPr>
          <w:rFonts w:cs="Courier New"/>
          <w:b/>
          <w:sz w:val="24"/>
          <w:szCs w:val="24"/>
          <w:u w:val="single"/>
        </w:rPr>
        <w:t xml:space="preserve">Souhrn </w:t>
      </w:r>
      <w:r w:rsidR="00CC7C4E">
        <w:rPr>
          <w:rFonts w:cs="Courier New"/>
          <w:b/>
          <w:sz w:val="24"/>
          <w:szCs w:val="24"/>
          <w:u w:val="single"/>
        </w:rPr>
        <w:t>dosavadního</w:t>
      </w:r>
      <w:bookmarkStart w:id="0" w:name="_GoBack"/>
      <w:bookmarkEnd w:id="0"/>
      <w:r w:rsidRPr="00932C61">
        <w:rPr>
          <w:rFonts w:cs="Courier New"/>
          <w:b/>
          <w:sz w:val="24"/>
          <w:szCs w:val="24"/>
          <w:u w:val="single"/>
        </w:rPr>
        <w:t xml:space="preserve"> uskutečňování programu, včetně plnění cílů programu</w:t>
      </w:r>
    </w:p>
    <w:p w14:paraId="218CC1FD" w14:textId="77777777" w:rsidR="008F01D1" w:rsidRPr="00806AF6" w:rsidRDefault="008F01D1" w:rsidP="008F01D1">
      <w:pPr>
        <w:pStyle w:val="Odstavecseseznamem"/>
        <w:numPr>
          <w:ilvl w:val="0"/>
          <w:numId w:val="2"/>
        </w:numPr>
        <w:spacing w:line="408" w:lineRule="auto"/>
        <w:rPr>
          <w:rFonts w:cs="Courier New"/>
          <w:b/>
          <w:sz w:val="24"/>
          <w:szCs w:val="24"/>
        </w:rPr>
      </w:pPr>
      <w:r w:rsidRPr="00806AF6">
        <w:rPr>
          <w:rFonts w:cs="Courier New"/>
          <w:b/>
          <w:sz w:val="24"/>
          <w:szCs w:val="24"/>
        </w:rPr>
        <w:t>Program účasti CPK a jeho uskutečňování</w:t>
      </w:r>
      <w:r w:rsidRPr="00806AF6">
        <w:rPr>
          <w:rFonts w:cs="Courier New"/>
          <w:b/>
          <w:sz w:val="24"/>
          <w:szCs w:val="24"/>
        </w:rPr>
        <w:tab/>
      </w:r>
    </w:p>
    <w:p w14:paraId="2FFADD3B" w14:textId="77777777" w:rsidR="008F01D1" w:rsidRPr="00806AF6" w:rsidRDefault="008F01D1" w:rsidP="008F01D1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CPK postupně uskutečňuje cíle stanovené v jeho programu z roku 2012 a doplněném v roce 2013. V období hodnocených dvou let se </w:t>
      </w:r>
      <w:r w:rsidR="00806AF6">
        <w:rPr>
          <w:rFonts w:cs="Courier New"/>
          <w:sz w:val="24"/>
          <w:szCs w:val="24"/>
        </w:rPr>
        <w:t xml:space="preserve">pozornost </w:t>
      </w:r>
      <w:r w:rsidRPr="00806AF6">
        <w:rPr>
          <w:rFonts w:cs="Courier New"/>
          <w:sz w:val="24"/>
          <w:szCs w:val="24"/>
        </w:rPr>
        <w:t>soustřeďoval</w:t>
      </w:r>
      <w:r w:rsidR="00806AF6">
        <w:rPr>
          <w:rFonts w:cs="Courier New"/>
          <w:sz w:val="24"/>
          <w:szCs w:val="24"/>
        </w:rPr>
        <w:t>a</w:t>
      </w:r>
      <w:r w:rsidRPr="00806AF6">
        <w:rPr>
          <w:rFonts w:cs="Courier New"/>
          <w:sz w:val="24"/>
          <w:szCs w:val="24"/>
        </w:rPr>
        <w:t xml:space="preserve"> především na problematiku odpovědnost</w:t>
      </w:r>
      <w:r w:rsidR="00552B2E">
        <w:rPr>
          <w:rFonts w:cs="Courier New"/>
          <w:sz w:val="24"/>
          <w:szCs w:val="24"/>
        </w:rPr>
        <w:t>i</w:t>
      </w:r>
      <w:r w:rsidRPr="00806AF6">
        <w:rPr>
          <w:rFonts w:cs="Courier New"/>
          <w:sz w:val="24"/>
          <w:szCs w:val="24"/>
        </w:rPr>
        <w:t xml:space="preserve"> v soukromém právu, a to zejména na </w:t>
      </w:r>
      <w:r w:rsidR="00552B2E">
        <w:rPr>
          <w:rFonts w:cs="Courier New"/>
          <w:sz w:val="24"/>
          <w:szCs w:val="24"/>
        </w:rPr>
        <w:t>problém</w:t>
      </w:r>
      <w:r w:rsidRPr="00806AF6">
        <w:rPr>
          <w:rFonts w:cs="Courier New"/>
          <w:sz w:val="24"/>
          <w:szCs w:val="24"/>
        </w:rPr>
        <w:t xml:space="preserve"> prevence, pojem škody, odpovědnost za výkon veřejné moci (viz ad 1 programu). Především v roce 2012 byla dalším předmětem výzkumu problematika evropského smluvního práva. V roce 2013 se CPK soustředilo na oblast svěřenectví a správy cizího majetku, stejně jako základní pojmy v oblasti obecné části soukromého práva.</w:t>
      </w:r>
    </w:p>
    <w:p w14:paraId="4605DD80" w14:textId="77777777" w:rsidR="008F01D1" w:rsidRPr="00806AF6" w:rsidRDefault="008F01D1" w:rsidP="008F01D1">
      <w:pPr>
        <w:pStyle w:val="Odstavecseseznamem"/>
        <w:numPr>
          <w:ilvl w:val="0"/>
          <w:numId w:val="2"/>
        </w:numPr>
        <w:spacing w:line="408" w:lineRule="auto"/>
        <w:jc w:val="both"/>
        <w:rPr>
          <w:rFonts w:cs="Courier New"/>
          <w:b/>
          <w:sz w:val="24"/>
          <w:szCs w:val="24"/>
        </w:rPr>
      </w:pPr>
      <w:r w:rsidRPr="00806AF6">
        <w:rPr>
          <w:rFonts w:cs="Courier New"/>
          <w:b/>
          <w:sz w:val="24"/>
          <w:szCs w:val="24"/>
        </w:rPr>
        <w:t>Klíčové projekty především s mezinárodní účastí</w:t>
      </w:r>
    </w:p>
    <w:p w14:paraId="6A0F52C3" w14:textId="77777777" w:rsidR="008F01D1" w:rsidRPr="00806AF6" w:rsidRDefault="008F01D1" w:rsidP="008F01D1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V roce 2012 uspořádalo CPK dvě velké mezinárodní konference a jedno mezinárodní kolokvium. </w:t>
      </w:r>
      <w:r w:rsidR="00806AF6">
        <w:rPr>
          <w:rFonts w:cs="Courier New"/>
          <w:sz w:val="24"/>
          <w:szCs w:val="24"/>
        </w:rPr>
        <w:t>Konference</w:t>
      </w:r>
      <w:r w:rsidRPr="00806AF6">
        <w:rPr>
          <w:rFonts w:cs="Courier New"/>
          <w:sz w:val="24"/>
          <w:szCs w:val="24"/>
        </w:rPr>
        <w:t xml:space="preserve"> o prevenci v právu se zúčastnili nejpřednější evropští odborníci, s nimiž CPK spolupracuje (viz dále </w:t>
      </w:r>
      <w:r w:rsidR="00552B2E">
        <w:rPr>
          <w:rFonts w:cs="Courier New"/>
          <w:sz w:val="24"/>
          <w:szCs w:val="24"/>
        </w:rPr>
        <w:t xml:space="preserve">ad </w:t>
      </w:r>
      <w:r w:rsidRPr="00806AF6">
        <w:rPr>
          <w:rFonts w:cs="Courier New"/>
          <w:sz w:val="24"/>
          <w:szCs w:val="24"/>
        </w:rPr>
        <w:t>3). Z konference pak byla vydána společná monografie. Druhou významnou mezinárodní konferencí byla konference o spotřebitelské kupní smlouvě, která byla uspořádána ve spolupráci s německou společností pro srovnávací právo (</w:t>
      </w:r>
      <w:proofErr w:type="spellStart"/>
      <w:r w:rsidRPr="00806AF6">
        <w:rPr>
          <w:rFonts w:cs="Courier New"/>
          <w:sz w:val="24"/>
          <w:szCs w:val="24"/>
        </w:rPr>
        <w:t>Deutsche</w:t>
      </w:r>
      <w:proofErr w:type="spellEnd"/>
      <w:r w:rsidRPr="00806AF6">
        <w:rPr>
          <w:rFonts w:cs="Courier New"/>
          <w:sz w:val="24"/>
          <w:szCs w:val="24"/>
        </w:rPr>
        <w:t xml:space="preserve"> </w:t>
      </w:r>
      <w:proofErr w:type="spellStart"/>
      <w:r w:rsidRPr="00806AF6">
        <w:rPr>
          <w:rFonts w:cs="Courier New"/>
          <w:sz w:val="24"/>
          <w:szCs w:val="24"/>
        </w:rPr>
        <w:t>Gesellschaft</w:t>
      </w:r>
      <w:proofErr w:type="spellEnd"/>
      <w:r w:rsidRPr="00806AF6">
        <w:rPr>
          <w:rFonts w:cs="Courier New"/>
          <w:sz w:val="24"/>
          <w:szCs w:val="24"/>
        </w:rPr>
        <w:t xml:space="preserve"> </w:t>
      </w:r>
      <w:proofErr w:type="spellStart"/>
      <w:r w:rsidRPr="00806AF6">
        <w:rPr>
          <w:rFonts w:cs="Courier New"/>
          <w:sz w:val="24"/>
          <w:szCs w:val="24"/>
        </w:rPr>
        <w:t>für</w:t>
      </w:r>
      <w:proofErr w:type="spellEnd"/>
      <w:r w:rsidRPr="00806AF6">
        <w:rPr>
          <w:rFonts w:cs="Courier New"/>
          <w:sz w:val="24"/>
          <w:szCs w:val="24"/>
        </w:rPr>
        <w:t xml:space="preserve"> </w:t>
      </w:r>
      <w:proofErr w:type="spellStart"/>
      <w:r w:rsidRPr="00806AF6">
        <w:rPr>
          <w:rFonts w:cs="Courier New"/>
          <w:sz w:val="24"/>
          <w:szCs w:val="24"/>
        </w:rPr>
        <w:t>Rechtsvergleichung</w:t>
      </w:r>
      <w:proofErr w:type="spellEnd"/>
      <w:r w:rsidRPr="00806AF6">
        <w:rPr>
          <w:rFonts w:cs="Courier New"/>
          <w:sz w:val="24"/>
          <w:szCs w:val="24"/>
        </w:rPr>
        <w:t xml:space="preserve">). Konference se zúčastnila celá řada předních německých a českých znalců této oblasti, která prodělává mimořádný vývoj jak na evropské tak na národní úrovni. Z této konference byly vydány dvě </w:t>
      </w:r>
      <w:r w:rsidR="00806AF6">
        <w:rPr>
          <w:rFonts w:cs="Courier New"/>
          <w:sz w:val="24"/>
          <w:szCs w:val="24"/>
        </w:rPr>
        <w:t xml:space="preserve">společné </w:t>
      </w:r>
      <w:r w:rsidRPr="00806AF6">
        <w:rPr>
          <w:rFonts w:cs="Courier New"/>
          <w:sz w:val="24"/>
          <w:szCs w:val="24"/>
        </w:rPr>
        <w:t xml:space="preserve">monografie a spolupráce s touto společností dále pokračuje (viz ad 3). Konečně na kolokviu byly prezentovány dosavadní výsledky ochrany spotřebitele s přihlédnutím ke zvláštním oblastem (sektor </w:t>
      </w:r>
      <w:r w:rsidRPr="00806AF6">
        <w:rPr>
          <w:rFonts w:cs="Courier New"/>
          <w:sz w:val="24"/>
          <w:szCs w:val="24"/>
        </w:rPr>
        <w:lastRenderedPageBreak/>
        <w:t xml:space="preserve">finančnictví, bankovnictví, telekomunikací). V roce 2013 byla v České republice poprvé uspořádána konference na téma trust, tedy institut, který v českém pojetí (správa cizího majetku a </w:t>
      </w:r>
      <w:proofErr w:type="spellStart"/>
      <w:r w:rsidRPr="00806AF6">
        <w:rPr>
          <w:rFonts w:cs="Courier New"/>
          <w:sz w:val="24"/>
          <w:szCs w:val="24"/>
        </w:rPr>
        <w:t>s</w:t>
      </w:r>
      <w:r w:rsidR="00552B2E">
        <w:rPr>
          <w:rFonts w:cs="Courier New"/>
          <w:sz w:val="24"/>
          <w:szCs w:val="24"/>
        </w:rPr>
        <w:t>věřenský</w:t>
      </w:r>
      <w:proofErr w:type="spellEnd"/>
      <w:r w:rsidR="00552B2E">
        <w:rPr>
          <w:rFonts w:cs="Courier New"/>
          <w:sz w:val="24"/>
          <w:szCs w:val="24"/>
        </w:rPr>
        <w:t xml:space="preserve"> fond) je poprvé uváděn</w:t>
      </w:r>
      <w:r w:rsidRPr="00806AF6">
        <w:rPr>
          <w:rFonts w:cs="Courier New"/>
          <w:sz w:val="24"/>
          <w:szCs w:val="24"/>
        </w:rPr>
        <w:t xml:space="preserve"> do občanského práva. Konference se jako řečníci zúčastnilo 16 evropských odborníků z této oblasti pocházejících z různých právních kultur (anglické, germánské, francouzské, ale i ze států střední Evropy, jež po období socialismu zavádí moderní i tradiční právní instituty</w:t>
      </w:r>
      <w:r w:rsidR="00B31E14" w:rsidRPr="00806AF6">
        <w:rPr>
          <w:rFonts w:cs="Courier New"/>
          <w:sz w:val="24"/>
          <w:szCs w:val="24"/>
        </w:rPr>
        <w:t xml:space="preserve">). Z této konference budou vydány dvě společné monografie. </w:t>
      </w:r>
    </w:p>
    <w:p w14:paraId="68E6E5D1" w14:textId="77777777" w:rsidR="00B31E14" w:rsidRPr="00806AF6" w:rsidRDefault="00B31E14" w:rsidP="008F01D1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Dále bylo uspořádáno sympozium o zajišťovacích institutech v občanském právu za účasti jednoho z nejpřednějších znalců této oblasti. Konečně v závěru roku pak následovala velká mezinárodní konference ochrany spotřebitele jak v soukromém tak veřejném právu. Dvoudenní konference se zúčastnili přednášející z celé Evropy. Pozoruhodná byla tato konference tím, že ji navštívilo více zahraničních účastníků než posluchačů z České republiky. To svědčí o věhlasu přednášejících.</w:t>
      </w:r>
    </w:p>
    <w:p w14:paraId="7D0B811A" w14:textId="77777777" w:rsidR="00B31E14" w:rsidRPr="00806AF6" w:rsidRDefault="00B31E14" w:rsidP="008F01D1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Kromě toho proběhlo šest seminářů k problematice základních pojmů obecné části občanského práva.</w:t>
      </w:r>
    </w:p>
    <w:p w14:paraId="3D64BE27" w14:textId="77777777" w:rsidR="00B31E14" w:rsidRPr="00806AF6" w:rsidRDefault="00B31E14" w:rsidP="00B31E14">
      <w:pPr>
        <w:pStyle w:val="Odstavecseseznamem"/>
        <w:numPr>
          <w:ilvl w:val="0"/>
          <w:numId w:val="2"/>
        </w:numPr>
        <w:spacing w:line="408" w:lineRule="auto"/>
        <w:jc w:val="both"/>
        <w:rPr>
          <w:rFonts w:cs="Courier New"/>
          <w:b/>
          <w:sz w:val="24"/>
          <w:szCs w:val="24"/>
        </w:rPr>
      </w:pPr>
      <w:r w:rsidRPr="00806AF6">
        <w:rPr>
          <w:rFonts w:cs="Courier New"/>
          <w:b/>
          <w:sz w:val="24"/>
          <w:szCs w:val="24"/>
        </w:rPr>
        <w:t>Význam činnosti CPK pro výzkum, mezinárodní spolupráci a vzdělávání</w:t>
      </w:r>
    </w:p>
    <w:p w14:paraId="5CDFB3CF" w14:textId="77777777" w:rsidR="0083507A" w:rsidRPr="00806AF6" w:rsidRDefault="00806AF6" w:rsidP="00B31E14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Význam mezinárodních konferencí</w:t>
      </w:r>
    </w:p>
    <w:p w14:paraId="0D01FDA5" w14:textId="77777777" w:rsidR="00B31E14" w:rsidRDefault="00B31E14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Mezinárodní konference jsou výsledkem vnitřního i mezinárodního dialogu o konkrétních klíčových problémech rozvoje soukromého práva. Samotné jejich uspořádání má význam pro rozšíření kontaktů a spolupráce nejen uvnitř České republiky, neboť se jich zúčastnili kolegové nejen z brněnské Masarykovy univerzity, ale ve vztahu k zahraničním kolegům, kteří většinou patří k evropské špičce. Konference jsou prezentací dosavadní výzkumné činnosti, ale též součástí širších mezinárodních projektů. </w:t>
      </w:r>
      <w:r w:rsidR="00806AF6">
        <w:rPr>
          <w:rFonts w:cs="Courier New"/>
          <w:sz w:val="24"/>
          <w:szCs w:val="24"/>
        </w:rPr>
        <w:t>Tyto konference ústí do dalších projektů, ve kterých se dále rozvíjí spolupráce CPK s rakouskou Akademií věd a Evropskou skupinou pro deliktní právo.</w:t>
      </w:r>
    </w:p>
    <w:p w14:paraId="206C5692" w14:textId="77777777" w:rsidR="00421209" w:rsidRPr="00806AF6" w:rsidRDefault="00421209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</w:p>
    <w:p w14:paraId="7741D848" w14:textId="77777777" w:rsidR="001E2A56" w:rsidRPr="00806AF6" w:rsidRDefault="001E2A56" w:rsidP="00B31E14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lastRenderedPageBreak/>
        <w:t>Společné projekty</w:t>
      </w:r>
    </w:p>
    <w:p w14:paraId="341339AB" w14:textId="77777777" w:rsidR="001E2A56" w:rsidRPr="00806AF6" w:rsidRDefault="001E2A56" w:rsidP="001E2A56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Někteří členové CPK se podílejí na dalším rozvoji občanského práva. Uvést je třeba účast </w:t>
      </w:r>
      <w:r w:rsidR="00806AF6">
        <w:rPr>
          <w:rFonts w:cs="Courier New"/>
          <w:sz w:val="24"/>
          <w:szCs w:val="24"/>
        </w:rPr>
        <w:t xml:space="preserve">L. </w:t>
      </w:r>
      <w:r w:rsidRPr="00806AF6">
        <w:rPr>
          <w:rFonts w:cs="Courier New"/>
          <w:sz w:val="24"/>
          <w:szCs w:val="24"/>
        </w:rPr>
        <w:t xml:space="preserve">Tichého </w:t>
      </w:r>
      <w:r w:rsidR="00806AF6">
        <w:rPr>
          <w:rFonts w:cs="Courier New"/>
          <w:sz w:val="24"/>
          <w:szCs w:val="24"/>
        </w:rPr>
        <w:t xml:space="preserve">a J. </w:t>
      </w:r>
      <w:r w:rsidRPr="00806AF6">
        <w:rPr>
          <w:rFonts w:cs="Courier New"/>
          <w:sz w:val="24"/>
          <w:szCs w:val="24"/>
        </w:rPr>
        <w:t xml:space="preserve">Hrádka na projektu Institutu pro deliktní a pojišťovací právo rakouské </w:t>
      </w:r>
      <w:r w:rsidR="00552B2E">
        <w:rPr>
          <w:rFonts w:cs="Courier New"/>
          <w:sz w:val="24"/>
          <w:szCs w:val="24"/>
        </w:rPr>
        <w:t>A</w:t>
      </w:r>
      <w:r w:rsidRPr="00806AF6">
        <w:rPr>
          <w:rFonts w:cs="Courier New"/>
          <w:sz w:val="24"/>
          <w:szCs w:val="24"/>
        </w:rPr>
        <w:t xml:space="preserve">kademie věd na </w:t>
      </w:r>
      <w:r w:rsidR="00806AF6">
        <w:rPr>
          <w:rFonts w:cs="Courier New"/>
          <w:sz w:val="24"/>
          <w:szCs w:val="24"/>
        </w:rPr>
        <w:t>výzkumu základních institutů</w:t>
      </w:r>
      <w:r w:rsidRPr="00806AF6">
        <w:rPr>
          <w:rFonts w:cs="Courier New"/>
          <w:sz w:val="24"/>
          <w:szCs w:val="24"/>
        </w:rPr>
        <w:t xml:space="preserve"> odpovědnosti za škodu (viz společné objemné publikace o škodě, příčinné souvislosti a dalších), jakož i účast L.</w:t>
      </w:r>
      <w:r w:rsidR="00806AF6">
        <w:rPr>
          <w:rFonts w:cs="Courier New"/>
          <w:sz w:val="24"/>
          <w:szCs w:val="24"/>
        </w:rPr>
        <w:t xml:space="preserve"> </w:t>
      </w:r>
      <w:r w:rsidRPr="00806AF6">
        <w:rPr>
          <w:rFonts w:cs="Courier New"/>
          <w:sz w:val="24"/>
          <w:szCs w:val="24"/>
        </w:rPr>
        <w:t xml:space="preserve">Tichého v Evropské skupině pro deliktní právo, o čemž svědčí </w:t>
      </w:r>
      <w:r w:rsidR="00806AF6">
        <w:rPr>
          <w:rFonts w:cs="Courier New"/>
          <w:sz w:val="24"/>
          <w:szCs w:val="24"/>
        </w:rPr>
        <w:t xml:space="preserve">jeho </w:t>
      </w:r>
      <w:r w:rsidRPr="00806AF6">
        <w:rPr>
          <w:rFonts w:cs="Courier New"/>
          <w:sz w:val="24"/>
          <w:szCs w:val="24"/>
        </w:rPr>
        <w:t xml:space="preserve">další podíl na publikacích </w:t>
      </w:r>
      <w:r w:rsidR="00806AF6">
        <w:rPr>
          <w:rFonts w:cs="Courier New"/>
          <w:sz w:val="24"/>
          <w:szCs w:val="24"/>
        </w:rPr>
        <w:t>o</w:t>
      </w:r>
      <w:r w:rsidRPr="00806AF6">
        <w:rPr>
          <w:rFonts w:cs="Courier New"/>
          <w:sz w:val="24"/>
          <w:szCs w:val="24"/>
        </w:rPr>
        <w:t xml:space="preserve"> odpovědnosti za škodu veřejného sektoru či proporcionální odpovědnost apod.</w:t>
      </w:r>
    </w:p>
    <w:p w14:paraId="6098242B" w14:textId="77777777" w:rsidR="001E2A56" w:rsidRPr="00806AF6" w:rsidRDefault="001E2A56" w:rsidP="001E2A56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Publikace v návaznosti na mezinárodní konference jako příspěvek v mezinárodní spolupráci rozvoji českého práva</w:t>
      </w:r>
    </w:p>
    <w:p w14:paraId="47B077A9" w14:textId="77777777" w:rsidR="001E2A56" w:rsidRPr="00806AF6" w:rsidRDefault="001E2A56" w:rsidP="001E2A56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Jak uvedeno ad 2, jedním z produktů konferencí je společná monografie. Tak tomu je v případě konference o prevenci či spotřebitelské kupní smlouvě a v nejbližší době se tak stane i ve vztahu k výzkumu trustu a ochrany spotřebitele. </w:t>
      </w:r>
    </w:p>
    <w:p w14:paraId="57EB79C4" w14:textId="77777777" w:rsidR="001E2A56" w:rsidRPr="00806AF6" w:rsidRDefault="001E2A56" w:rsidP="001E2A56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Týmová spolupráce </w:t>
      </w:r>
    </w:p>
    <w:p w14:paraId="7FAB3934" w14:textId="77777777" w:rsidR="001E2A56" w:rsidRPr="00806AF6" w:rsidRDefault="001E2A56" w:rsidP="001E2A56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Příkladem týmové spolupráce je první monografická publikace o odpovědnosti advokáta za škodu, na které se podílelo pět členů CPK. Tak bylo možné v relativně širokém rozsahu zpracovat na základě srovnávací analýzy základní složky tohoto institutu. </w:t>
      </w:r>
    </w:p>
    <w:p w14:paraId="66BE7A65" w14:textId="77777777" w:rsidR="0083507A" w:rsidRPr="00806AF6" w:rsidRDefault="0083507A" w:rsidP="0083507A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Prevence v právu</w:t>
      </w:r>
    </w:p>
    <w:p w14:paraId="346A744C" w14:textId="77777777" w:rsidR="0083507A" w:rsidRPr="00806AF6" w:rsidRDefault="0083507A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 xml:space="preserve">Ojedinělým projektem je publikace </w:t>
      </w:r>
      <w:proofErr w:type="spellStart"/>
      <w:r w:rsidRPr="00806AF6">
        <w:rPr>
          <w:rFonts w:cs="Courier New"/>
          <w:sz w:val="24"/>
          <w:szCs w:val="24"/>
        </w:rPr>
        <w:t>Prevention</w:t>
      </w:r>
      <w:proofErr w:type="spellEnd"/>
      <w:r w:rsidRPr="00806AF6">
        <w:rPr>
          <w:rFonts w:cs="Courier New"/>
          <w:sz w:val="24"/>
          <w:szCs w:val="24"/>
        </w:rPr>
        <w:t xml:space="preserve"> </w:t>
      </w:r>
      <w:r w:rsidR="00467E2F">
        <w:rPr>
          <w:rFonts w:cs="Courier New"/>
          <w:sz w:val="24"/>
          <w:szCs w:val="24"/>
        </w:rPr>
        <w:t>in</w:t>
      </w:r>
      <w:r w:rsidRPr="00806AF6">
        <w:rPr>
          <w:rFonts w:cs="Courier New"/>
          <w:sz w:val="24"/>
          <w:szCs w:val="24"/>
        </w:rPr>
        <w:t xml:space="preserve"> </w:t>
      </w:r>
      <w:proofErr w:type="spellStart"/>
      <w:r w:rsidR="00467E2F">
        <w:rPr>
          <w:rFonts w:cs="Courier New"/>
          <w:sz w:val="24"/>
          <w:szCs w:val="24"/>
        </w:rPr>
        <w:t>L</w:t>
      </w:r>
      <w:r w:rsidRPr="00806AF6">
        <w:rPr>
          <w:rFonts w:cs="Courier New"/>
          <w:sz w:val="24"/>
          <w:szCs w:val="24"/>
        </w:rPr>
        <w:t>aw</w:t>
      </w:r>
      <w:proofErr w:type="spellEnd"/>
      <w:r w:rsidRPr="00806AF6">
        <w:rPr>
          <w:rFonts w:cs="Courier New"/>
          <w:sz w:val="24"/>
          <w:szCs w:val="24"/>
        </w:rPr>
        <w:t>, která obsahuje šest monografických studií zaměřených na tento pojem, který nabývá stále na významu, a to z různých perspektiv. Jde o zcela ojedinělou publikaci v evropském mezinárodním kontextu. Jak již uvedeno, tato publikace byla vyústěním konference konané v roce 2012.</w:t>
      </w:r>
    </w:p>
    <w:p w14:paraId="72FC47E5" w14:textId="77777777" w:rsidR="0083507A" w:rsidRPr="00806AF6" w:rsidRDefault="0083507A" w:rsidP="0083507A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Nové jevy v českém právu</w:t>
      </w:r>
    </w:p>
    <w:p w14:paraId="535F168C" w14:textId="77777777" w:rsidR="0083507A" w:rsidRPr="00806AF6" w:rsidRDefault="0083507A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Poprvé v če</w:t>
      </w:r>
      <w:r w:rsidR="00FE191F">
        <w:rPr>
          <w:rFonts w:cs="Courier New"/>
          <w:sz w:val="24"/>
          <w:szCs w:val="24"/>
        </w:rPr>
        <w:t>ském právu se objevuje institut</w:t>
      </w:r>
      <w:r w:rsidRPr="00806AF6">
        <w:rPr>
          <w:rFonts w:cs="Courier New"/>
          <w:sz w:val="24"/>
          <w:szCs w:val="24"/>
        </w:rPr>
        <w:t xml:space="preserve"> správy cizího majetku a fyzických osob. Jakkoliv jde o tradiční právní instituty, jsou poprvé kodifikovány v novém občanském </w:t>
      </w:r>
      <w:r w:rsidRPr="00806AF6">
        <w:rPr>
          <w:rFonts w:cs="Courier New"/>
          <w:sz w:val="24"/>
          <w:szCs w:val="24"/>
        </w:rPr>
        <w:lastRenderedPageBreak/>
        <w:t xml:space="preserve">zákoníku. Proto má zcela mimořádný význam srovnání různých přístupů tradičních právních kultur k tomuto právnímu institutu. </w:t>
      </w:r>
    </w:p>
    <w:p w14:paraId="01F0EA88" w14:textId="77777777" w:rsidR="0083507A" w:rsidRPr="00806AF6" w:rsidRDefault="0083507A" w:rsidP="0083507A">
      <w:pPr>
        <w:pStyle w:val="Odstavecseseznamem"/>
        <w:numPr>
          <w:ilvl w:val="0"/>
          <w:numId w:val="3"/>
        </w:numPr>
        <w:spacing w:line="408" w:lineRule="auto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Kolektivní ochrana procesních práv</w:t>
      </w:r>
    </w:p>
    <w:p w14:paraId="12620594" w14:textId="77777777" w:rsidR="0083507A" w:rsidRDefault="0083507A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 w:rsidRPr="00806AF6">
        <w:rPr>
          <w:rFonts w:cs="Courier New"/>
          <w:sz w:val="24"/>
          <w:szCs w:val="24"/>
        </w:rPr>
        <w:t>Několik členů CPK, ale zejména</w:t>
      </w:r>
      <w:r w:rsidR="00552B2E">
        <w:rPr>
          <w:rFonts w:cs="Courier New"/>
          <w:sz w:val="24"/>
          <w:szCs w:val="24"/>
        </w:rPr>
        <w:t xml:space="preserve"> J.</w:t>
      </w:r>
      <w:r w:rsidRPr="00806AF6">
        <w:rPr>
          <w:rFonts w:cs="Courier New"/>
          <w:sz w:val="24"/>
          <w:szCs w:val="24"/>
        </w:rPr>
        <w:t xml:space="preserve"> </w:t>
      </w:r>
      <w:proofErr w:type="spellStart"/>
      <w:r w:rsidRPr="00806AF6">
        <w:rPr>
          <w:rFonts w:cs="Courier New"/>
          <w:sz w:val="24"/>
          <w:szCs w:val="24"/>
        </w:rPr>
        <w:t>Balarin</w:t>
      </w:r>
      <w:proofErr w:type="spellEnd"/>
      <w:r w:rsidRPr="00806AF6">
        <w:rPr>
          <w:rFonts w:cs="Courier New"/>
          <w:sz w:val="24"/>
          <w:szCs w:val="24"/>
        </w:rPr>
        <w:t xml:space="preserve"> a </w:t>
      </w:r>
      <w:r w:rsidR="00552B2E">
        <w:rPr>
          <w:rFonts w:cs="Courier New"/>
          <w:sz w:val="24"/>
          <w:szCs w:val="24"/>
        </w:rPr>
        <w:t xml:space="preserve">L. </w:t>
      </w:r>
      <w:r w:rsidRPr="00806AF6">
        <w:rPr>
          <w:rFonts w:cs="Courier New"/>
          <w:sz w:val="24"/>
          <w:szCs w:val="24"/>
        </w:rPr>
        <w:t>Tichý se dlouhodobě zabývají otázkou relativní ochrany procesních práv. Po uspořádání konference v roce 2009 a dvou publikacích uveřejnili návrh české právní úpravy (návrh zákona), který by na základě nejnovějších zkušeností s tímto relativně novým institutem upravil v českém procesním právu procesní p</w:t>
      </w:r>
      <w:r w:rsidR="00552B2E">
        <w:rPr>
          <w:rFonts w:cs="Courier New"/>
          <w:sz w:val="24"/>
          <w:szCs w:val="24"/>
        </w:rPr>
        <w:t>ráva zejména spotřebitelů a</w:t>
      </w:r>
      <w:r w:rsidRPr="00806AF6">
        <w:rPr>
          <w:rFonts w:cs="Courier New"/>
          <w:sz w:val="24"/>
          <w:szCs w:val="24"/>
        </w:rPr>
        <w:t xml:space="preserve"> dalších subjektů, jímž vznikly nároky z masového konzumu, zejména v případě služeb. Na základě tohoto návrhu byla v loňském roce (2013) ustavena komise při Ministerstvu spravedlnosti, která se tímto jevem bude zabývat a pracovat na návrhu příslušného legislativního aktu.</w:t>
      </w:r>
    </w:p>
    <w:p w14:paraId="557CABA6" w14:textId="77777777" w:rsidR="0059765A" w:rsidRDefault="00CD647D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Tomáš Dumbrovský zkoumal </w:t>
      </w:r>
      <w:r w:rsidR="00872B91">
        <w:rPr>
          <w:rFonts w:cs="Courier New"/>
          <w:sz w:val="24"/>
          <w:szCs w:val="24"/>
        </w:rPr>
        <w:t>řešení přesouvání škody v kartelovém právu v USA a EU z pohledu ekonomické analýzy práva s cílem posoudit společenské náklady jednotlivých řešení vztahu zákazu/povolení procesní obrany</w:t>
      </w:r>
      <w:r w:rsidR="00F812BB">
        <w:rPr>
          <w:rFonts w:cs="Courier New"/>
          <w:sz w:val="24"/>
          <w:szCs w:val="24"/>
        </w:rPr>
        <w:t xml:space="preserve"> přímých poškozených</w:t>
      </w:r>
      <w:r w:rsidR="00872B91">
        <w:rPr>
          <w:rFonts w:cs="Courier New"/>
          <w:sz w:val="24"/>
          <w:szCs w:val="24"/>
        </w:rPr>
        <w:t>, že škod</w:t>
      </w:r>
      <w:r w:rsidR="00F812BB">
        <w:rPr>
          <w:rFonts w:cs="Courier New"/>
          <w:sz w:val="24"/>
          <w:szCs w:val="24"/>
        </w:rPr>
        <w:t>u</w:t>
      </w:r>
      <w:r w:rsidR="00872B91">
        <w:rPr>
          <w:rFonts w:cs="Courier New"/>
          <w:sz w:val="24"/>
          <w:szCs w:val="24"/>
        </w:rPr>
        <w:t xml:space="preserve"> </w:t>
      </w:r>
      <w:r w:rsidR="00F812BB">
        <w:rPr>
          <w:rFonts w:cs="Courier New"/>
          <w:sz w:val="24"/>
          <w:szCs w:val="24"/>
        </w:rPr>
        <w:t>přesunuli na nepřímé poškozené,</w:t>
      </w:r>
      <w:r w:rsidR="00872B91">
        <w:rPr>
          <w:rFonts w:cs="Courier New"/>
          <w:sz w:val="24"/>
          <w:szCs w:val="24"/>
        </w:rPr>
        <w:t xml:space="preserve"> a </w:t>
      </w:r>
      <w:r w:rsidR="00F812BB">
        <w:rPr>
          <w:rFonts w:cs="Courier New"/>
          <w:sz w:val="24"/>
          <w:szCs w:val="24"/>
        </w:rPr>
        <w:t xml:space="preserve">poskytnutí/neposkytnutí </w:t>
      </w:r>
      <w:r w:rsidR="00872B91">
        <w:rPr>
          <w:rFonts w:cs="Courier New"/>
          <w:sz w:val="24"/>
          <w:szCs w:val="24"/>
        </w:rPr>
        <w:t xml:space="preserve">aktivní legitimace </w:t>
      </w:r>
      <w:r w:rsidR="00F812BB">
        <w:rPr>
          <w:rFonts w:cs="Courier New"/>
          <w:sz w:val="24"/>
          <w:szCs w:val="24"/>
        </w:rPr>
        <w:t>nepřímým poškozeným. Jeho závěry ukazují, že přesunutí škody přináší další společenské náklady kvůli způsobu, jakým obchodníci určují marže, a proto nejméně společensky škodlivé je zakázat obranu přesunutí škody a zároveň poskytnout aktivní legitimaci nepřímým poškozeným. Dodatečné společenské náklady totiž způsobuje samo přenášení škody, které se omezí při zvolení uvedeného modelu.</w:t>
      </w:r>
    </w:p>
    <w:p w14:paraId="2AD1E895" w14:textId="77777777" w:rsidR="00932C61" w:rsidRDefault="00932C61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</w:p>
    <w:p w14:paraId="51D45779" w14:textId="77777777" w:rsidR="00FE191F" w:rsidRPr="00ED0E69" w:rsidRDefault="00932C61" w:rsidP="00932C61">
      <w:pPr>
        <w:pStyle w:val="Odstavecseseznamem"/>
        <w:numPr>
          <w:ilvl w:val="0"/>
          <w:numId w:val="1"/>
        </w:numPr>
        <w:spacing w:line="408" w:lineRule="auto"/>
        <w:jc w:val="both"/>
        <w:rPr>
          <w:rFonts w:cs="Courier New"/>
          <w:b/>
          <w:sz w:val="24"/>
          <w:szCs w:val="24"/>
          <w:u w:val="single"/>
        </w:rPr>
      </w:pPr>
      <w:r w:rsidRPr="00ED0E69">
        <w:rPr>
          <w:rFonts w:cs="Courier New"/>
          <w:b/>
          <w:sz w:val="24"/>
          <w:szCs w:val="24"/>
          <w:u w:val="single"/>
        </w:rPr>
        <w:t>Výsledky dosavadního uskutečňování programu</w:t>
      </w:r>
    </w:p>
    <w:p w14:paraId="5A2C9166" w14:textId="77777777" w:rsidR="00FE191F" w:rsidRPr="00ED0E69" w:rsidRDefault="00FE191F" w:rsidP="00FE191F">
      <w:pPr>
        <w:rPr>
          <w:b/>
          <w:sz w:val="24"/>
          <w:szCs w:val="24"/>
          <w:u w:val="single"/>
        </w:rPr>
      </w:pPr>
      <w:r w:rsidRPr="00ED0E69">
        <w:rPr>
          <w:b/>
          <w:sz w:val="24"/>
          <w:szCs w:val="24"/>
          <w:u w:val="single"/>
        </w:rPr>
        <w:t>Recenzovaný odborný článek  (J)</w:t>
      </w:r>
    </w:p>
    <w:p w14:paraId="7AD2EB17" w14:textId="77777777" w:rsidR="00FE191F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BALARIN, Jan, TICHÝ, Luboš,</w:t>
      </w:r>
      <w:r w:rsidRPr="00ED0E69">
        <w:rPr>
          <w:rFonts w:cs="Arial"/>
          <w:sz w:val="24"/>
          <w:szCs w:val="24"/>
        </w:rPr>
        <w:t xml:space="preserve"> Kolektivní ochrana procesních práv v ČR: sen či skutečnos</w:t>
      </w:r>
      <w:r w:rsidR="00ED0E69" w:rsidRPr="00ED0E69">
        <w:rPr>
          <w:rFonts w:cs="Arial"/>
          <w:sz w:val="24"/>
          <w:szCs w:val="24"/>
        </w:rPr>
        <w:t>t? Bulletin advokacie, 3/2013, 17-25</w:t>
      </w:r>
      <w:r w:rsidR="00ED0E69">
        <w:rPr>
          <w:rFonts w:cs="Arial"/>
          <w:sz w:val="24"/>
          <w:szCs w:val="24"/>
        </w:rPr>
        <w:t xml:space="preserve">, </w:t>
      </w:r>
      <w:r w:rsidRPr="00ED0E69">
        <w:rPr>
          <w:rFonts w:cs="Arial"/>
          <w:sz w:val="24"/>
          <w:szCs w:val="24"/>
        </w:rPr>
        <w:t>ISSN</w:t>
      </w:r>
      <w:r w:rsidR="00ED0E69">
        <w:rPr>
          <w:rFonts w:cs="Arial"/>
          <w:sz w:val="24"/>
          <w:szCs w:val="24"/>
        </w:rPr>
        <w:t xml:space="preserve"> 1210-6348</w:t>
      </w:r>
    </w:p>
    <w:p w14:paraId="0891C6EC" w14:textId="77777777" w:rsidR="00ED0E69" w:rsidRPr="00ED0E69" w:rsidRDefault="00ED0E69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</w:p>
    <w:p w14:paraId="5B88FF0F" w14:textId="77777777" w:rsidR="00FE191F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lastRenderedPageBreak/>
        <w:t>BŘICHÁČEK, Tomáš</w:t>
      </w:r>
      <w:r w:rsidRPr="00ED0E69">
        <w:rPr>
          <w:rFonts w:cs="Arial"/>
          <w:sz w:val="24"/>
          <w:szCs w:val="24"/>
        </w:rPr>
        <w:t>, Změny v obecném režimu uznávání a výkon soudních rozhodnutí v civilních věcech v EU, Právní rozhledy, 5/2013</w:t>
      </w:r>
      <w:r w:rsidR="00ED0E69" w:rsidRPr="00ED0E69">
        <w:rPr>
          <w:rFonts w:cs="Arial"/>
          <w:sz w:val="24"/>
          <w:szCs w:val="24"/>
        </w:rPr>
        <w:t>, ISSN 1210-6410</w:t>
      </w:r>
    </w:p>
    <w:p w14:paraId="31ADCC8D" w14:textId="77777777" w:rsidR="00FB0AEC" w:rsidRDefault="00FB0AEC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</w:p>
    <w:p w14:paraId="738CF87D" w14:textId="77777777" w:rsidR="00FB0AEC" w:rsidRPr="00FB0AEC" w:rsidRDefault="00FB0AEC" w:rsidP="00FB0AEC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BA5A03">
        <w:rPr>
          <w:rFonts w:eastAsia="Times New Roman" w:cs="Arial"/>
          <w:b/>
          <w:caps/>
          <w:sz w:val="24"/>
          <w:szCs w:val="24"/>
          <w:lang w:eastAsia="cs-CZ" w:bidi="sa-IN"/>
        </w:rPr>
        <w:t>Dumbrovský</w:t>
      </w:r>
      <w:r w:rsidRPr="00BA5A03">
        <w:rPr>
          <w:rFonts w:eastAsia="Times New Roman" w:cs="Arial"/>
          <w:b/>
          <w:sz w:val="24"/>
          <w:szCs w:val="24"/>
          <w:lang w:eastAsia="cs-CZ" w:bidi="sa-IN"/>
        </w:rPr>
        <w:t>, Tomáš,</w:t>
      </w:r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 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Passing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>-on-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Standing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 Matrix</w:t>
      </w:r>
      <w:r>
        <w:rPr>
          <w:rFonts w:eastAsia="Times New Roman" w:cs="Arial"/>
          <w:sz w:val="24"/>
          <w:szCs w:val="24"/>
          <w:lang w:eastAsia="cs-CZ" w:bidi="sa-IN"/>
        </w:rPr>
        <w:t xml:space="preserve"> in </w:t>
      </w:r>
      <w:proofErr w:type="spellStart"/>
      <w:r>
        <w:rPr>
          <w:rFonts w:eastAsia="Times New Roman" w:cs="Arial"/>
          <w:sz w:val="24"/>
          <w:szCs w:val="24"/>
          <w:lang w:eastAsia="cs-CZ" w:bidi="sa-IN"/>
        </w:rPr>
        <w:t>Private</w:t>
      </w:r>
      <w:proofErr w:type="spellEnd"/>
      <w:r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cs-CZ" w:bidi="sa-IN"/>
        </w:rPr>
        <w:t>Antitrust</w:t>
      </w:r>
      <w:proofErr w:type="spellEnd"/>
      <w:r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cs-CZ" w:bidi="sa-IN"/>
        </w:rPr>
        <w:t>Enforcement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: </w:t>
      </w:r>
      <w:r>
        <w:rPr>
          <w:rFonts w:eastAsia="Times New Roman" w:cs="Arial"/>
          <w:sz w:val="24"/>
          <w:szCs w:val="24"/>
          <w:lang w:eastAsia="cs-CZ" w:bidi="sa-IN"/>
        </w:rPr>
        <w:t xml:space="preserve">a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Reconciliation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of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Economic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 and Justice 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Approach</w:t>
      </w:r>
      <w:r>
        <w:rPr>
          <w:rFonts w:eastAsia="Times New Roman" w:cs="Arial"/>
          <w:sz w:val="24"/>
          <w:szCs w:val="24"/>
          <w:lang w:eastAsia="cs-CZ" w:bidi="sa-IN"/>
        </w:rPr>
        <w:t>es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, EUI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Working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BA5A03">
        <w:rPr>
          <w:rFonts w:eastAsia="Times New Roman" w:cs="Arial"/>
          <w:sz w:val="24"/>
          <w:szCs w:val="24"/>
          <w:lang w:eastAsia="cs-CZ" w:bidi="sa-IN"/>
        </w:rPr>
        <w:t>Papers</w:t>
      </w:r>
      <w:proofErr w:type="spellEnd"/>
      <w:r w:rsidRPr="00BA5A03">
        <w:rPr>
          <w:rFonts w:eastAsia="Times New Roman" w:cs="Arial"/>
          <w:sz w:val="24"/>
          <w:szCs w:val="24"/>
          <w:lang w:eastAsia="cs-CZ" w:bidi="sa-IN"/>
        </w:rPr>
        <w:t>, MWP 2013/30,</w:t>
      </w:r>
      <w:r>
        <w:rPr>
          <w:rFonts w:eastAsia="Times New Roman" w:cs="Arial"/>
          <w:sz w:val="24"/>
          <w:szCs w:val="24"/>
          <w:lang w:eastAsia="cs-CZ" w:bidi="sa-IN"/>
        </w:rPr>
        <w:t xml:space="preserve"> San </w:t>
      </w:r>
      <w:proofErr w:type="spellStart"/>
      <w:r>
        <w:rPr>
          <w:rFonts w:eastAsia="Times New Roman" w:cs="Arial"/>
          <w:sz w:val="24"/>
          <w:szCs w:val="24"/>
          <w:lang w:eastAsia="cs-CZ" w:bidi="sa-IN"/>
        </w:rPr>
        <w:t>Domenico</w:t>
      </w:r>
      <w:proofErr w:type="spellEnd"/>
      <w:r>
        <w:rPr>
          <w:rFonts w:eastAsia="Times New Roman" w:cs="Arial"/>
          <w:sz w:val="24"/>
          <w:szCs w:val="24"/>
          <w:lang w:eastAsia="cs-CZ" w:bidi="sa-IN"/>
        </w:rPr>
        <w:t xml:space="preserve"> di </w:t>
      </w:r>
      <w:proofErr w:type="spellStart"/>
      <w:r>
        <w:rPr>
          <w:rFonts w:eastAsia="Times New Roman" w:cs="Arial"/>
          <w:sz w:val="24"/>
          <w:szCs w:val="24"/>
          <w:lang w:eastAsia="cs-CZ" w:bidi="sa-IN"/>
        </w:rPr>
        <w:t>Fiesole</w:t>
      </w:r>
      <w:proofErr w:type="spellEnd"/>
      <w:r>
        <w:rPr>
          <w:rFonts w:eastAsia="Times New Roman" w:cs="Arial"/>
          <w:sz w:val="24"/>
          <w:szCs w:val="24"/>
          <w:lang w:eastAsia="cs-CZ" w:bidi="sa-IN"/>
        </w:rPr>
        <w:t xml:space="preserve"> 2013, ISSN 1830-7728</w:t>
      </w:r>
    </w:p>
    <w:p w14:paraId="0225C741" w14:textId="77777777" w:rsidR="00FE191F" w:rsidRPr="00ED0E69" w:rsidRDefault="00FE191F" w:rsidP="00FE191F">
      <w:pPr>
        <w:pStyle w:val="Odstavecseseznamem"/>
        <w:spacing w:after="0"/>
        <w:ind w:left="360"/>
        <w:rPr>
          <w:rFonts w:cs="Arial"/>
          <w:sz w:val="24"/>
          <w:szCs w:val="24"/>
        </w:rPr>
      </w:pPr>
    </w:p>
    <w:p w14:paraId="7E59B531" w14:textId="18C8924A" w:rsidR="00FE191F" w:rsidRPr="00ED0E69" w:rsidRDefault="00FE191F" w:rsidP="00FE191F">
      <w:pPr>
        <w:pStyle w:val="Normlnweb"/>
        <w:spacing w:before="0" w:beforeAutospacing="0" w:after="0" w:afterAutospacing="0"/>
        <w:rPr>
          <w:rFonts w:asciiTheme="minorHAnsi" w:hAnsiTheme="minorHAnsi" w:cs="Arial"/>
        </w:rPr>
      </w:pPr>
      <w:r w:rsidRPr="00ED0E69">
        <w:rPr>
          <w:rFonts w:asciiTheme="minorHAnsi" w:hAnsiTheme="minorHAnsi" w:cs="Arial"/>
          <w:b/>
          <w:caps/>
        </w:rPr>
        <w:t>Hajná-Steinerová</w:t>
      </w:r>
      <w:r w:rsidRPr="00ED0E69">
        <w:rPr>
          <w:rFonts w:asciiTheme="minorHAnsi" w:hAnsiTheme="minorHAnsi" w:cs="Arial"/>
          <w:b/>
        </w:rPr>
        <w:t xml:space="preserve">, Karin., </w:t>
      </w:r>
      <w:r w:rsidRPr="00ED0E69">
        <w:rPr>
          <w:rFonts w:asciiTheme="minorHAnsi" w:hAnsiTheme="minorHAnsi" w:cs="Arial"/>
        </w:rPr>
        <w:t>Ochranná známka jako předmět vlastnictví ve světle nového občanského zákoníku, Právní rozhledy č. 23-24/2013, s. 839-8</w:t>
      </w:r>
      <w:r w:rsidR="00AB6CBA">
        <w:rPr>
          <w:rFonts w:asciiTheme="minorHAnsi" w:hAnsiTheme="minorHAnsi" w:cs="Arial"/>
        </w:rPr>
        <w:t>4</w:t>
      </w:r>
      <w:r w:rsidRPr="00ED0E69">
        <w:rPr>
          <w:rFonts w:asciiTheme="minorHAnsi" w:hAnsiTheme="minorHAnsi" w:cs="Arial"/>
        </w:rPr>
        <w:t>4</w:t>
      </w:r>
      <w:r w:rsidR="00ED0E69" w:rsidRPr="00ED0E69">
        <w:rPr>
          <w:rFonts w:asciiTheme="minorHAnsi" w:hAnsiTheme="minorHAnsi" w:cs="Arial"/>
        </w:rPr>
        <w:t>, ISSN 1210-6410</w:t>
      </w:r>
    </w:p>
    <w:p w14:paraId="52891BED" w14:textId="77777777" w:rsidR="00FE191F" w:rsidRPr="00ED0E69" w:rsidRDefault="00FE191F" w:rsidP="00FE191F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bCs/>
          <w:caps/>
          <w:sz w:val="24"/>
          <w:szCs w:val="24"/>
          <w:lang w:eastAsia="cs-CZ" w:bidi="sa-IN"/>
        </w:rPr>
        <w:t>Hrádek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>, Jiří,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'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The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Liability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of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an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Expert in Czech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Law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' (2013) 21 </w:t>
      </w:r>
      <w:proofErr w:type="spellStart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>European</w:t>
      </w:r>
      <w:proofErr w:type="spellEnd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>Review</w:t>
      </w:r>
      <w:proofErr w:type="spellEnd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>of</w:t>
      </w:r>
      <w:proofErr w:type="spellEnd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>Private</w:t>
      </w:r>
      <w:proofErr w:type="spellEnd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 xml:space="preserve"> </w:t>
      </w:r>
      <w:proofErr w:type="spellStart"/>
      <w:r w:rsidRPr="00ED0E69">
        <w:rPr>
          <w:rFonts w:eastAsia="Times New Roman" w:cs="Arial"/>
          <w:i/>
          <w:iCs/>
          <w:sz w:val="24"/>
          <w:szCs w:val="24"/>
          <w:lang w:eastAsia="cs-CZ" w:bidi="sa-IN"/>
        </w:rPr>
        <w:t>Law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>, No. 4, 2013, 1051–1063, ISSN 0928-9801</w:t>
      </w:r>
    </w:p>
    <w:p w14:paraId="71013F11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JOSKOVÁ, Lucie</w:t>
      </w:r>
      <w:r w:rsidRPr="00ED0E69">
        <w:rPr>
          <w:rFonts w:cs="Arial"/>
          <w:sz w:val="24"/>
          <w:szCs w:val="24"/>
        </w:rPr>
        <w:t>, Napadení usnesení valné hromady společníkem podle zákona o obchodních korporacích, Obchodněprávní revue, 2/2013</w:t>
      </w:r>
      <w:r w:rsidR="00ED0E69" w:rsidRPr="00ED0E69">
        <w:rPr>
          <w:rFonts w:cs="Arial"/>
          <w:sz w:val="24"/>
          <w:szCs w:val="24"/>
        </w:rPr>
        <w:t>, ISSN 1213-5313</w:t>
      </w:r>
    </w:p>
    <w:p w14:paraId="57DD6590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</w:p>
    <w:p w14:paraId="638E1EDA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JOSKOVÁ, Lucie</w:t>
      </w:r>
      <w:r w:rsidRPr="00ED0E69">
        <w:rPr>
          <w:rFonts w:cs="Arial"/>
          <w:sz w:val="24"/>
          <w:szCs w:val="24"/>
        </w:rPr>
        <w:t>, Ovládnou dozorčí rady opravdu ženy? Právní rádce, 3/2013, 58-59</w:t>
      </w:r>
      <w:r w:rsidR="00ED0E69">
        <w:rPr>
          <w:rFonts w:cs="Arial"/>
          <w:sz w:val="24"/>
          <w:szCs w:val="24"/>
        </w:rPr>
        <w:t>, ISSN 1210-4817</w:t>
      </w:r>
    </w:p>
    <w:p w14:paraId="5E426D5B" w14:textId="77777777" w:rsidR="00FE191F" w:rsidRPr="00ED0E69" w:rsidRDefault="00FE191F" w:rsidP="00FE191F">
      <w:pPr>
        <w:pStyle w:val="Odstavecseseznamem"/>
        <w:spacing w:after="0"/>
        <w:ind w:left="360"/>
        <w:rPr>
          <w:rFonts w:cs="Arial"/>
          <w:sz w:val="24"/>
          <w:szCs w:val="24"/>
        </w:rPr>
      </w:pPr>
    </w:p>
    <w:p w14:paraId="356A25EF" w14:textId="77777777" w:rsidR="00FE191F" w:rsidRPr="00ED0E69" w:rsidRDefault="00FE191F" w:rsidP="00FE191F">
      <w:pPr>
        <w:rPr>
          <w:sz w:val="24"/>
          <w:szCs w:val="24"/>
        </w:rPr>
      </w:pPr>
      <w:r w:rsidRPr="00ED0E69">
        <w:rPr>
          <w:b/>
          <w:caps/>
          <w:sz w:val="24"/>
          <w:szCs w:val="24"/>
        </w:rPr>
        <w:t>Kocí</w:t>
      </w:r>
      <w:r w:rsidRPr="00ED0E69">
        <w:rPr>
          <w:caps/>
          <w:sz w:val="24"/>
          <w:szCs w:val="24"/>
        </w:rPr>
        <w:t xml:space="preserve"> </w:t>
      </w:r>
      <w:r w:rsidRPr="00ED0E69">
        <w:rPr>
          <w:b/>
          <w:sz w:val="24"/>
          <w:szCs w:val="24"/>
        </w:rPr>
        <w:t>Miloš,</w:t>
      </w:r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Analysis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of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the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Cartel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Legislation</w:t>
      </w:r>
      <w:proofErr w:type="spellEnd"/>
      <w:r w:rsidRPr="00ED0E69">
        <w:rPr>
          <w:sz w:val="24"/>
          <w:szCs w:val="24"/>
        </w:rPr>
        <w:t xml:space="preserve"> and </w:t>
      </w:r>
      <w:proofErr w:type="spellStart"/>
      <w:r w:rsidRPr="00ED0E69">
        <w:rPr>
          <w:sz w:val="24"/>
          <w:szCs w:val="24"/>
        </w:rPr>
        <w:t>Leniency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Programs</w:t>
      </w:r>
      <w:proofErr w:type="spellEnd"/>
      <w:r w:rsidRPr="00ED0E69">
        <w:rPr>
          <w:sz w:val="24"/>
          <w:szCs w:val="24"/>
        </w:rPr>
        <w:t xml:space="preserve"> in </w:t>
      </w:r>
      <w:proofErr w:type="spellStart"/>
      <w:r w:rsidRPr="00ED0E69">
        <w:rPr>
          <w:sz w:val="24"/>
          <w:szCs w:val="24"/>
        </w:rPr>
        <w:t>Germany</w:t>
      </w:r>
      <w:proofErr w:type="spellEnd"/>
      <w:r w:rsidRPr="00ED0E69">
        <w:rPr>
          <w:sz w:val="24"/>
          <w:szCs w:val="24"/>
        </w:rPr>
        <w:t xml:space="preserve"> and </w:t>
      </w:r>
      <w:proofErr w:type="spellStart"/>
      <w:r w:rsidRPr="00ED0E69">
        <w:rPr>
          <w:sz w:val="24"/>
          <w:szCs w:val="24"/>
        </w:rPr>
        <w:t>the</w:t>
      </w:r>
      <w:proofErr w:type="spellEnd"/>
      <w:r w:rsidRPr="00ED0E69">
        <w:rPr>
          <w:sz w:val="24"/>
          <w:szCs w:val="24"/>
        </w:rPr>
        <w:t xml:space="preserve"> Czech Republic. </w:t>
      </w:r>
      <w:proofErr w:type="spellStart"/>
      <w:r w:rsidRPr="00ED0E69">
        <w:rPr>
          <w:i/>
          <w:iCs/>
          <w:sz w:val="24"/>
          <w:szCs w:val="24"/>
        </w:rPr>
        <w:t>The</w:t>
      </w:r>
      <w:proofErr w:type="spellEnd"/>
      <w:r w:rsidRPr="00ED0E69">
        <w:rPr>
          <w:i/>
          <w:iCs/>
          <w:sz w:val="24"/>
          <w:szCs w:val="24"/>
        </w:rPr>
        <w:t xml:space="preserve"> </w:t>
      </w:r>
      <w:proofErr w:type="spellStart"/>
      <w:r w:rsidRPr="00ED0E69">
        <w:rPr>
          <w:i/>
          <w:iCs/>
          <w:sz w:val="24"/>
          <w:szCs w:val="24"/>
        </w:rPr>
        <w:t>Lawyer</w:t>
      </w:r>
      <w:proofErr w:type="spellEnd"/>
      <w:r w:rsidRPr="00ED0E69">
        <w:rPr>
          <w:i/>
          <w:iCs/>
          <w:sz w:val="24"/>
          <w:szCs w:val="24"/>
        </w:rPr>
        <w:t xml:space="preserve"> </w:t>
      </w:r>
      <w:proofErr w:type="spellStart"/>
      <w:r w:rsidRPr="00ED0E69">
        <w:rPr>
          <w:i/>
          <w:iCs/>
          <w:sz w:val="24"/>
          <w:szCs w:val="24"/>
        </w:rPr>
        <w:t>Quarterly</w:t>
      </w:r>
      <w:proofErr w:type="spellEnd"/>
      <w:r w:rsidRPr="00ED0E69">
        <w:rPr>
          <w:i/>
          <w:iCs/>
          <w:sz w:val="24"/>
          <w:szCs w:val="24"/>
        </w:rPr>
        <w:t xml:space="preserve">, </w:t>
      </w:r>
      <w:r w:rsidRPr="00ED0E69">
        <w:rPr>
          <w:sz w:val="24"/>
          <w:szCs w:val="24"/>
        </w:rPr>
        <w:t>3/2013, 235-251</w:t>
      </w:r>
    </w:p>
    <w:p w14:paraId="443E0E8D" w14:textId="77777777" w:rsidR="00FE191F" w:rsidRPr="00ED0E69" w:rsidRDefault="00FE191F" w:rsidP="00FE191F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Kocí,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 Miloš,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Institut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svěřenského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fondu v NOZ, Bulletin advokacie, v tisku, vyjde počátkem roku 2014, ISSN 1210-6348</w:t>
      </w:r>
    </w:p>
    <w:p w14:paraId="1BC11110" w14:textId="77777777" w:rsidR="00FE191F" w:rsidRPr="00ED0E69" w:rsidRDefault="00FE191F" w:rsidP="00FE191F">
      <w:pPr>
        <w:shd w:val="clear" w:color="auto" w:fill="FFFFFF"/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ONDŘEJOVÁ, Eva</w:t>
      </w:r>
      <w:r w:rsidRPr="00ED0E69">
        <w:rPr>
          <w:rFonts w:cs="Arial"/>
          <w:sz w:val="24"/>
          <w:szCs w:val="24"/>
        </w:rPr>
        <w:t>, Ochrana soukromí v britském právu, Právní rozhledy,  12/2013</w:t>
      </w:r>
      <w:r w:rsidR="00ED0E69" w:rsidRPr="00ED0E69">
        <w:rPr>
          <w:rFonts w:cs="Arial"/>
          <w:sz w:val="24"/>
          <w:szCs w:val="24"/>
        </w:rPr>
        <w:t>, ISSN 1210-6410</w:t>
      </w:r>
    </w:p>
    <w:p w14:paraId="58B8647C" w14:textId="77777777" w:rsidR="00FE191F" w:rsidRPr="00ED0E69" w:rsidRDefault="00FE191F" w:rsidP="00FE191F">
      <w:pPr>
        <w:pStyle w:val="Odstavecseseznamem"/>
        <w:shd w:val="clear" w:color="auto" w:fill="FFFFFF"/>
        <w:spacing w:after="0"/>
        <w:ind w:left="0"/>
        <w:rPr>
          <w:rFonts w:cs="Arial"/>
          <w:sz w:val="24"/>
          <w:szCs w:val="24"/>
        </w:rPr>
      </w:pPr>
    </w:p>
    <w:p w14:paraId="34F3C270" w14:textId="77777777" w:rsidR="00FE191F" w:rsidRPr="00ED0E69" w:rsidRDefault="00FE191F" w:rsidP="00FE191F">
      <w:pPr>
        <w:shd w:val="clear" w:color="auto" w:fill="FFFFFF"/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 xml:space="preserve">ONDŘEJOVÁ, Eva, </w:t>
      </w:r>
      <w:r w:rsidRPr="00ED0E69">
        <w:rPr>
          <w:rFonts w:cs="Arial"/>
          <w:sz w:val="24"/>
          <w:szCs w:val="24"/>
        </w:rPr>
        <w:t>Odpovědnost provozovatelů internetových služeb v aktuální judikatuře, Jurisprudence,  5/2013, ISSN 1802-3843</w:t>
      </w:r>
    </w:p>
    <w:p w14:paraId="067710EB" w14:textId="77777777" w:rsidR="00FE191F" w:rsidRPr="00ED0E69" w:rsidRDefault="00FE191F" w:rsidP="00FE191F">
      <w:pPr>
        <w:pStyle w:val="Odstavecseseznamem"/>
        <w:shd w:val="clear" w:color="auto" w:fill="FFFFFF"/>
        <w:spacing w:after="0"/>
        <w:ind w:left="0"/>
        <w:rPr>
          <w:rFonts w:cs="Arial"/>
          <w:sz w:val="24"/>
          <w:szCs w:val="24"/>
        </w:rPr>
      </w:pPr>
    </w:p>
    <w:p w14:paraId="20D0ACC3" w14:textId="77777777" w:rsidR="00FE191F" w:rsidRPr="00ED0E69" w:rsidRDefault="00FE191F" w:rsidP="00FE191F">
      <w:pPr>
        <w:shd w:val="clear" w:color="auto" w:fill="FFFFFF"/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ONDŘEJOVÁ, Eva</w:t>
      </w:r>
      <w:r w:rsidRPr="00ED0E69">
        <w:rPr>
          <w:rFonts w:cs="Arial"/>
          <w:sz w:val="24"/>
          <w:szCs w:val="24"/>
        </w:rPr>
        <w:t>, Odpovědnost provozovatelů blogů v zahraniční judikatuře, Jurisprudence, 6/2013, ISSN 1802-3843</w:t>
      </w:r>
    </w:p>
    <w:p w14:paraId="008080D2" w14:textId="77777777" w:rsidR="00FE191F" w:rsidRPr="00ED0E69" w:rsidRDefault="00FE191F" w:rsidP="00FE191F">
      <w:pPr>
        <w:shd w:val="clear" w:color="auto" w:fill="FFFFFF"/>
        <w:spacing w:after="0" w:line="240" w:lineRule="auto"/>
        <w:contextualSpacing/>
        <w:rPr>
          <w:rFonts w:cs="Arial"/>
          <w:sz w:val="24"/>
          <w:szCs w:val="24"/>
        </w:rPr>
      </w:pPr>
    </w:p>
    <w:p w14:paraId="5CDAB2CE" w14:textId="77777777" w:rsidR="00FE191F" w:rsidRPr="00ED0E69" w:rsidRDefault="00FE191F" w:rsidP="00FE191F">
      <w:pPr>
        <w:spacing w:after="0" w:line="240" w:lineRule="auto"/>
        <w:rPr>
          <w:rFonts w:eastAsia="Times New Roman" w:cs="Times New Roman"/>
          <w:sz w:val="24"/>
          <w:szCs w:val="24"/>
          <w:lang w:eastAsia="cs-CZ" w:bidi="sa-IN"/>
        </w:rPr>
      </w:pPr>
      <w:r w:rsidRPr="00ED0E69">
        <w:rPr>
          <w:rFonts w:cs="Arial"/>
          <w:b/>
          <w:bCs/>
          <w:caps/>
          <w:sz w:val="24"/>
          <w:szCs w:val="24"/>
        </w:rPr>
        <w:t>Ondřejová,</w:t>
      </w:r>
      <w:r w:rsidRPr="00ED0E69">
        <w:rPr>
          <w:rFonts w:cs="Arial"/>
          <w:b/>
          <w:bCs/>
          <w:sz w:val="24"/>
          <w:szCs w:val="24"/>
        </w:rPr>
        <w:t xml:space="preserve"> Eva, </w:t>
      </w:r>
      <w:r w:rsidRPr="00ED0E69">
        <w:rPr>
          <w:rFonts w:cs="Arial"/>
          <w:bCs/>
          <w:sz w:val="24"/>
          <w:szCs w:val="24"/>
        </w:rPr>
        <w:t>Fabianová, Zuzana.,</w:t>
      </w:r>
      <w:r w:rsidRPr="00ED0E69">
        <w:rPr>
          <w:rFonts w:cs="Arial"/>
          <w:b/>
          <w:bCs/>
          <w:sz w:val="24"/>
          <w:szCs w:val="24"/>
        </w:rPr>
        <w:t xml:space="preserve"> </w:t>
      </w:r>
      <w:r w:rsidRPr="00ED0E69">
        <w:rPr>
          <w:rFonts w:eastAsia="Times New Roman" w:cs="Times New Roman"/>
          <w:sz w:val="24"/>
          <w:szCs w:val="24"/>
          <w:lang w:eastAsia="cs-CZ" w:bidi="sa-IN"/>
        </w:rPr>
        <w:t>Odnětí možnosti realizovat právo na rodinný život jako žalovatelné porušení osobnostních práv, Právní rozhledy č. 15-16/2013</w:t>
      </w:r>
      <w:r w:rsidR="00ED0E69" w:rsidRPr="00ED0E69">
        <w:rPr>
          <w:rFonts w:eastAsia="Times New Roman" w:cs="Times New Roman"/>
          <w:sz w:val="24"/>
          <w:szCs w:val="24"/>
          <w:lang w:eastAsia="cs-CZ" w:bidi="sa-IN"/>
        </w:rPr>
        <w:t xml:space="preserve">, </w:t>
      </w:r>
      <w:r w:rsidR="00ED0E69" w:rsidRPr="00ED0E69">
        <w:rPr>
          <w:rFonts w:cs="Arial"/>
          <w:sz w:val="24"/>
          <w:szCs w:val="24"/>
        </w:rPr>
        <w:t>ISSN 1210-6410</w:t>
      </w:r>
    </w:p>
    <w:p w14:paraId="4D0A83B8" w14:textId="77777777" w:rsidR="00FE191F" w:rsidRPr="00ED0E69" w:rsidRDefault="00FE191F" w:rsidP="00FE191F">
      <w:pPr>
        <w:spacing w:after="0" w:line="240" w:lineRule="auto"/>
        <w:rPr>
          <w:rFonts w:eastAsia="Times New Roman" w:cs="Times New Roman"/>
          <w:sz w:val="24"/>
          <w:szCs w:val="24"/>
          <w:lang w:eastAsia="cs-CZ" w:bidi="sa-IN"/>
        </w:rPr>
      </w:pPr>
    </w:p>
    <w:p w14:paraId="276C0AF4" w14:textId="77777777" w:rsidR="00FE191F" w:rsidRPr="00ED0E69" w:rsidRDefault="00FE191F" w:rsidP="00FE191F">
      <w:pPr>
        <w:spacing w:after="0" w:line="240" w:lineRule="auto"/>
        <w:rPr>
          <w:rFonts w:eastAsia="Times New Roman" w:cs="Times New Roman"/>
          <w:sz w:val="24"/>
          <w:szCs w:val="24"/>
          <w:lang w:eastAsia="cs-CZ" w:bidi="sa-IN"/>
        </w:rPr>
      </w:pPr>
      <w:r w:rsidRPr="00ED0E69">
        <w:rPr>
          <w:rFonts w:eastAsia="Times New Roman" w:cs="Times New Roman"/>
          <w:b/>
          <w:caps/>
          <w:sz w:val="24"/>
          <w:szCs w:val="24"/>
          <w:lang w:eastAsia="cs-CZ" w:bidi="sa-IN"/>
        </w:rPr>
        <w:t>Ondřejová</w:t>
      </w:r>
      <w:r w:rsidRPr="00ED0E69">
        <w:rPr>
          <w:rFonts w:eastAsia="Times New Roman" w:cs="Times New Roman"/>
          <w:b/>
          <w:sz w:val="24"/>
          <w:szCs w:val="24"/>
          <w:lang w:eastAsia="cs-CZ" w:bidi="sa-IN"/>
        </w:rPr>
        <w:t>, Eva,</w:t>
      </w:r>
      <w:r w:rsidRPr="00ED0E69">
        <w:rPr>
          <w:rFonts w:eastAsia="Times New Roman" w:cs="Times New Roman"/>
          <w:sz w:val="24"/>
          <w:szCs w:val="24"/>
          <w:lang w:eastAsia="cs-CZ" w:bidi="sa-IN"/>
        </w:rPr>
        <w:t xml:space="preserve"> Fabianová, Zuzana, Žaloba na ochranu osobnosti v případě zásahu do práva na rodinný život, Rodinné listy č. 9, 2013</w:t>
      </w:r>
      <w:r w:rsidR="00ED0E69" w:rsidRPr="00ED0E69">
        <w:rPr>
          <w:rFonts w:eastAsia="Times New Roman" w:cs="Times New Roman"/>
          <w:sz w:val="24"/>
          <w:szCs w:val="24"/>
          <w:lang w:eastAsia="cs-CZ" w:bidi="sa-IN"/>
        </w:rPr>
        <w:t>, ISSN 1805-0824</w:t>
      </w:r>
    </w:p>
    <w:p w14:paraId="76ECF5B3" w14:textId="77777777" w:rsidR="00FE191F" w:rsidRPr="00ED0E69" w:rsidRDefault="00FE191F" w:rsidP="00FE191F">
      <w:pPr>
        <w:spacing w:after="0" w:line="240" w:lineRule="auto"/>
        <w:rPr>
          <w:rFonts w:eastAsia="Times New Roman" w:cs="Times New Roman"/>
          <w:sz w:val="24"/>
          <w:szCs w:val="24"/>
          <w:lang w:eastAsia="cs-CZ" w:bidi="sa-IN"/>
        </w:rPr>
      </w:pPr>
    </w:p>
    <w:p w14:paraId="7B9AC3AB" w14:textId="77777777" w:rsidR="00FE191F" w:rsidRPr="00ED0E69" w:rsidRDefault="00FE191F" w:rsidP="00FE191F">
      <w:pPr>
        <w:rPr>
          <w:sz w:val="24"/>
          <w:szCs w:val="24"/>
        </w:rPr>
      </w:pPr>
      <w:r w:rsidRPr="00ED0E69">
        <w:rPr>
          <w:b/>
          <w:caps/>
          <w:sz w:val="24"/>
          <w:szCs w:val="24"/>
        </w:rPr>
        <w:t>Pipková,</w:t>
      </w:r>
      <w:r w:rsidRPr="00ED0E69">
        <w:rPr>
          <w:b/>
          <w:sz w:val="24"/>
          <w:szCs w:val="24"/>
        </w:rPr>
        <w:t xml:space="preserve"> Petra J.,</w:t>
      </w:r>
      <w:r w:rsidRPr="00ED0E69">
        <w:rPr>
          <w:sz w:val="24"/>
          <w:szCs w:val="24"/>
        </w:rPr>
        <w:t xml:space="preserve"> Ochranný účel normy a jeho význam pro vymezení rozsahu odpovědnosti za škodu (k § 2910 NOZ), Právník 9/2013, 869-882</w:t>
      </w:r>
      <w:r w:rsidR="00ED0E69" w:rsidRPr="00ED0E69">
        <w:rPr>
          <w:sz w:val="24"/>
          <w:szCs w:val="24"/>
        </w:rPr>
        <w:t>, ISSN 0231-6625</w:t>
      </w:r>
    </w:p>
    <w:p w14:paraId="7B5169D5" w14:textId="5265D69E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Sik-Simon</w:t>
      </w:r>
      <w:r w:rsidRPr="00ED0E69">
        <w:rPr>
          <w:rFonts w:cs="Arial"/>
          <w:b/>
          <w:sz w:val="24"/>
          <w:szCs w:val="24"/>
        </w:rPr>
        <w:t>, Rita,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Unterlassungsklagen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als</w:t>
      </w:r>
      <w:proofErr w:type="spellEnd"/>
      <w:r w:rsidRPr="00ED0E69">
        <w:rPr>
          <w:rFonts w:cs="Arial"/>
          <w:sz w:val="24"/>
          <w:szCs w:val="24"/>
        </w:rPr>
        <w:t xml:space="preserve"> Instrument der </w:t>
      </w:r>
      <w:proofErr w:type="spellStart"/>
      <w:r w:rsidRPr="00ED0E69">
        <w:rPr>
          <w:rFonts w:cs="Arial"/>
          <w:sz w:val="24"/>
          <w:szCs w:val="24"/>
        </w:rPr>
        <w:t>Durchsetzung</w:t>
      </w:r>
      <w:proofErr w:type="spellEnd"/>
      <w:r w:rsidRPr="00ED0E69">
        <w:rPr>
          <w:rFonts w:cs="Arial"/>
          <w:sz w:val="24"/>
          <w:szCs w:val="24"/>
        </w:rPr>
        <w:t xml:space="preserve"> von </w:t>
      </w:r>
      <w:proofErr w:type="spellStart"/>
      <w:r w:rsidRPr="00ED0E69">
        <w:rPr>
          <w:rFonts w:cs="Arial"/>
          <w:sz w:val="24"/>
          <w:szCs w:val="24"/>
        </w:rPr>
        <w:t>Verbraucherrechten</w:t>
      </w:r>
      <w:proofErr w:type="spellEnd"/>
      <w:r w:rsidRPr="00ED0E69">
        <w:rPr>
          <w:rFonts w:cs="Arial"/>
          <w:sz w:val="24"/>
          <w:szCs w:val="24"/>
        </w:rPr>
        <w:t xml:space="preserve"> in der </w:t>
      </w:r>
      <w:proofErr w:type="spellStart"/>
      <w:r w:rsidRPr="00ED0E69">
        <w:rPr>
          <w:rFonts w:cs="Arial"/>
          <w:sz w:val="24"/>
          <w:szCs w:val="24"/>
        </w:rPr>
        <w:t>Tschechischen</w:t>
      </w:r>
      <w:proofErr w:type="spellEnd"/>
      <w:r w:rsidRPr="00ED0E69">
        <w:rPr>
          <w:rFonts w:cs="Arial"/>
          <w:sz w:val="24"/>
          <w:szCs w:val="24"/>
        </w:rPr>
        <w:t xml:space="preserve"> Republik </w:t>
      </w:r>
      <w:proofErr w:type="spellStart"/>
      <w:r w:rsidRPr="00ED0E69">
        <w:rPr>
          <w:rFonts w:cs="Arial"/>
          <w:sz w:val="24"/>
          <w:szCs w:val="24"/>
        </w:rPr>
        <w:t>und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Ungarn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Zeitschrift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für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lastRenderedPageBreak/>
        <w:t>Gemeinschaftsprivatrecht</w:t>
      </w:r>
      <w:proofErr w:type="spellEnd"/>
      <w:r w:rsidRPr="00ED0E69">
        <w:rPr>
          <w:rFonts w:cs="Arial"/>
          <w:sz w:val="24"/>
          <w:szCs w:val="24"/>
        </w:rPr>
        <w:t xml:space="preserve"> (GPR), </w:t>
      </w:r>
      <w:proofErr w:type="spellStart"/>
      <w:r w:rsidRPr="00ED0E69">
        <w:rPr>
          <w:rFonts w:cs="Arial"/>
          <w:sz w:val="24"/>
          <w:szCs w:val="24"/>
        </w:rPr>
        <w:t>Sellier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Verlag</w:t>
      </w:r>
      <w:proofErr w:type="spellEnd"/>
      <w:r w:rsidRPr="00ED0E69">
        <w:rPr>
          <w:rFonts w:cs="Arial"/>
          <w:sz w:val="24"/>
          <w:szCs w:val="24"/>
        </w:rPr>
        <w:t>, 1/2014, s.</w:t>
      </w:r>
      <w:r w:rsidRPr="00ED0E69">
        <w:rPr>
          <w:rFonts w:cs="Arial"/>
          <w:sz w:val="24"/>
          <w:szCs w:val="24"/>
        </w:rPr>
        <w:br/>
      </w:r>
      <w:r w:rsidRPr="00ED0E69">
        <w:rPr>
          <w:rFonts w:cs="Arial"/>
          <w:sz w:val="24"/>
          <w:szCs w:val="24"/>
        </w:rPr>
        <w:br/>
      </w:r>
      <w:r w:rsidRPr="00ED0E69">
        <w:rPr>
          <w:rFonts w:cs="Arial"/>
          <w:b/>
          <w:caps/>
          <w:sz w:val="24"/>
          <w:szCs w:val="24"/>
        </w:rPr>
        <w:t>Sik-Simon</w:t>
      </w:r>
      <w:r w:rsidRPr="00ED0E69">
        <w:rPr>
          <w:rFonts w:cs="Arial"/>
          <w:b/>
          <w:sz w:val="24"/>
          <w:szCs w:val="24"/>
        </w:rPr>
        <w:t>, Rita,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Verwaltungsrechtliche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Sanktionieren</w:t>
      </w:r>
      <w:proofErr w:type="spellEnd"/>
      <w:r w:rsidRPr="00ED0E69">
        <w:rPr>
          <w:rFonts w:cs="Arial"/>
          <w:sz w:val="24"/>
          <w:szCs w:val="24"/>
        </w:rPr>
        <w:t xml:space="preserve"> der </w:t>
      </w:r>
      <w:proofErr w:type="spellStart"/>
      <w:r w:rsidRPr="00ED0E69">
        <w:rPr>
          <w:rFonts w:cs="Arial"/>
          <w:sz w:val="24"/>
          <w:szCs w:val="24"/>
        </w:rPr>
        <w:t>Verletzung</w:t>
      </w:r>
      <w:proofErr w:type="spellEnd"/>
      <w:r w:rsidRPr="00ED0E69">
        <w:rPr>
          <w:rFonts w:cs="Arial"/>
          <w:sz w:val="24"/>
          <w:szCs w:val="24"/>
        </w:rPr>
        <w:t xml:space="preserve"> der </w:t>
      </w:r>
      <w:proofErr w:type="spellStart"/>
      <w:r w:rsidRPr="00ED0E69">
        <w:rPr>
          <w:rFonts w:cs="Arial"/>
          <w:sz w:val="24"/>
          <w:szCs w:val="24"/>
        </w:rPr>
        <w:t>Verbraucherrechte</w:t>
      </w:r>
      <w:proofErr w:type="spellEnd"/>
      <w:r w:rsidRPr="00ED0E69">
        <w:rPr>
          <w:rFonts w:cs="Arial"/>
          <w:sz w:val="24"/>
          <w:szCs w:val="24"/>
        </w:rPr>
        <w:t xml:space="preserve"> in der </w:t>
      </w:r>
      <w:proofErr w:type="spellStart"/>
      <w:r w:rsidRPr="00ED0E69">
        <w:rPr>
          <w:rFonts w:cs="Arial"/>
          <w:sz w:val="24"/>
          <w:szCs w:val="24"/>
        </w:rPr>
        <w:t>Tschechischen</w:t>
      </w:r>
      <w:proofErr w:type="spellEnd"/>
      <w:r w:rsidRPr="00ED0E69">
        <w:rPr>
          <w:rFonts w:cs="Arial"/>
          <w:sz w:val="24"/>
          <w:szCs w:val="24"/>
        </w:rPr>
        <w:t xml:space="preserve"> Republik </w:t>
      </w:r>
      <w:proofErr w:type="spellStart"/>
      <w:r w:rsidRPr="00ED0E69">
        <w:rPr>
          <w:rFonts w:cs="Arial"/>
          <w:sz w:val="24"/>
          <w:szCs w:val="24"/>
        </w:rPr>
        <w:t>und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ED0E69">
        <w:rPr>
          <w:rFonts w:cs="Arial"/>
          <w:sz w:val="24"/>
          <w:szCs w:val="24"/>
        </w:rPr>
        <w:t>Ungarn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r w:rsidR="000403CD">
        <w:rPr>
          <w:rFonts w:cs="Arial"/>
          <w:sz w:val="24"/>
          <w:szCs w:val="24"/>
        </w:rPr>
        <w:t xml:space="preserve"> </w:t>
      </w:r>
      <w:proofErr w:type="spellStart"/>
      <w:r w:rsidR="000403CD">
        <w:rPr>
          <w:rFonts w:cs="Arial"/>
          <w:sz w:val="24"/>
          <w:szCs w:val="24"/>
        </w:rPr>
        <w:t>Donau</w:t>
      </w:r>
      <w:proofErr w:type="spellEnd"/>
      <w:proofErr w:type="gramEnd"/>
      <w:r w:rsidR="000403CD">
        <w:rPr>
          <w:rFonts w:cs="Arial"/>
          <w:sz w:val="24"/>
          <w:szCs w:val="24"/>
        </w:rPr>
        <w:t xml:space="preserve"> Institut – </w:t>
      </w:r>
      <w:proofErr w:type="spellStart"/>
      <w:r w:rsidR="000403CD">
        <w:rPr>
          <w:rFonts w:cs="Arial"/>
          <w:sz w:val="24"/>
          <w:szCs w:val="24"/>
        </w:rPr>
        <w:t>Working</w:t>
      </w:r>
      <w:proofErr w:type="spellEnd"/>
      <w:r w:rsidR="000403CD">
        <w:rPr>
          <w:rFonts w:cs="Arial"/>
          <w:sz w:val="24"/>
          <w:szCs w:val="24"/>
        </w:rPr>
        <w:t xml:space="preserve"> </w:t>
      </w:r>
      <w:proofErr w:type="spellStart"/>
      <w:r w:rsidR="000403CD">
        <w:rPr>
          <w:rFonts w:cs="Arial"/>
          <w:sz w:val="24"/>
          <w:szCs w:val="24"/>
        </w:rPr>
        <w:t>Papers</w:t>
      </w:r>
      <w:proofErr w:type="spellEnd"/>
      <w:r w:rsidR="000403CD">
        <w:rPr>
          <w:rFonts w:cs="Arial"/>
          <w:sz w:val="24"/>
          <w:szCs w:val="24"/>
        </w:rPr>
        <w:t xml:space="preserve"> </w:t>
      </w:r>
      <w:proofErr w:type="spellStart"/>
      <w:r w:rsidR="000403CD">
        <w:rPr>
          <w:rFonts w:cs="Arial"/>
          <w:sz w:val="24"/>
          <w:szCs w:val="24"/>
        </w:rPr>
        <w:t>Nr</w:t>
      </w:r>
      <w:proofErr w:type="spellEnd"/>
      <w:r w:rsidR="000403CD">
        <w:rPr>
          <w:rFonts w:cs="Arial"/>
          <w:sz w:val="24"/>
          <w:szCs w:val="24"/>
        </w:rPr>
        <w:t>. 32,</w:t>
      </w:r>
      <w:r w:rsidRPr="00ED0E69">
        <w:rPr>
          <w:rFonts w:cs="Arial"/>
          <w:sz w:val="24"/>
          <w:szCs w:val="24"/>
        </w:rPr>
        <w:t xml:space="preserve"> TÁMOP-4.2.2/B-10/1-2010-0015 Projekt  </w:t>
      </w:r>
      <w:proofErr w:type="spellStart"/>
      <w:r w:rsidRPr="00ED0E69">
        <w:rPr>
          <w:rFonts w:cs="Arial"/>
          <w:sz w:val="24"/>
          <w:szCs w:val="24"/>
        </w:rPr>
        <w:t>abrufbar</w:t>
      </w:r>
      <w:proofErr w:type="spellEnd"/>
      <w:r w:rsidRPr="00ED0E69">
        <w:rPr>
          <w:rFonts w:cs="Arial"/>
          <w:sz w:val="24"/>
          <w:szCs w:val="24"/>
        </w:rPr>
        <w:t xml:space="preserve">: </w:t>
      </w:r>
      <w:hyperlink r:id="rId9" w:history="1">
        <w:r w:rsidRPr="00ED0E69">
          <w:rPr>
            <w:rStyle w:val="Hypertextovodkaz"/>
            <w:rFonts w:cs="Arial"/>
            <w:sz w:val="24"/>
            <w:szCs w:val="24"/>
          </w:rPr>
          <w:t>http://www.andrassyuni.eu/donauinstitut/publikationen/donauinstitut-working-papers/donauinstitut-working-papers-serie</w:t>
        </w:r>
      </w:hyperlink>
      <w:r w:rsidR="000403CD">
        <w:rPr>
          <w:rFonts w:cs="Arial"/>
          <w:sz w:val="24"/>
          <w:szCs w:val="24"/>
        </w:rPr>
        <w:t xml:space="preserve"> ISSN 2063-8191</w:t>
      </w:r>
    </w:p>
    <w:p w14:paraId="7D56142D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6A50EFAA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Sik-Simon,</w:t>
      </w:r>
      <w:r w:rsidRPr="00ED0E69">
        <w:rPr>
          <w:rFonts w:cs="Arial"/>
          <w:b/>
          <w:sz w:val="24"/>
          <w:szCs w:val="24"/>
        </w:rPr>
        <w:t xml:space="preserve"> Rita,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Kollektive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Durchsetzung</w:t>
      </w:r>
      <w:proofErr w:type="spellEnd"/>
      <w:r w:rsidRPr="00ED0E69">
        <w:rPr>
          <w:rFonts w:cs="Arial"/>
          <w:sz w:val="24"/>
          <w:szCs w:val="24"/>
        </w:rPr>
        <w:t xml:space="preserve"> der </w:t>
      </w:r>
      <w:proofErr w:type="spellStart"/>
      <w:r w:rsidRPr="00ED0E69">
        <w:rPr>
          <w:rFonts w:cs="Arial"/>
          <w:sz w:val="24"/>
          <w:szCs w:val="24"/>
        </w:rPr>
        <w:t>Verbraucherrechte</w:t>
      </w:r>
      <w:proofErr w:type="spellEnd"/>
      <w:r w:rsidRPr="00ED0E69">
        <w:rPr>
          <w:rFonts w:cs="Arial"/>
          <w:sz w:val="24"/>
          <w:szCs w:val="24"/>
        </w:rPr>
        <w:t xml:space="preserve"> in </w:t>
      </w:r>
      <w:proofErr w:type="spellStart"/>
      <w:r w:rsidRPr="00ED0E69">
        <w:rPr>
          <w:rFonts w:cs="Arial"/>
          <w:sz w:val="24"/>
          <w:szCs w:val="24"/>
        </w:rPr>
        <w:t>Ungarn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und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Tschechien</w:t>
      </w:r>
      <w:proofErr w:type="spellEnd"/>
      <w:r w:rsidRPr="00ED0E69">
        <w:rPr>
          <w:rFonts w:cs="Arial"/>
          <w:sz w:val="24"/>
          <w:szCs w:val="24"/>
        </w:rPr>
        <w:t xml:space="preserve">, TÁMOP-4.2.2/B-10/1-2010-0015 Projekt </w:t>
      </w:r>
      <w:proofErr w:type="spellStart"/>
      <w:r w:rsidRPr="00ED0E69">
        <w:rPr>
          <w:rFonts w:cs="Arial"/>
          <w:sz w:val="24"/>
          <w:szCs w:val="24"/>
        </w:rPr>
        <w:t>abrufbar</w:t>
      </w:r>
      <w:proofErr w:type="spellEnd"/>
      <w:r w:rsidRPr="00ED0E69">
        <w:rPr>
          <w:rFonts w:cs="Arial"/>
          <w:sz w:val="24"/>
          <w:szCs w:val="24"/>
        </w:rPr>
        <w:t>:</w:t>
      </w:r>
      <w:r w:rsidRPr="00ED0E69">
        <w:rPr>
          <w:rFonts w:cs="Arial"/>
          <w:sz w:val="24"/>
          <w:szCs w:val="24"/>
        </w:rPr>
        <w:br/>
      </w:r>
      <w:hyperlink r:id="rId10" w:history="1">
        <w:r w:rsidRPr="00ED0E69">
          <w:rPr>
            <w:rStyle w:val="Hypertextovodkaz"/>
            <w:rFonts w:cs="Arial"/>
            <w:sz w:val="24"/>
            <w:szCs w:val="24"/>
          </w:rPr>
          <w:t>http://www.andrassyuni.eu/donauinstitut/publikationen/donauinstitut-working-papers/donauinstitut-working-papers-serie</w:t>
        </w:r>
      </w:hyperlink>
      <w:r w:rsidRPr="00ED0E69">
        <w:rPr>
          <w:rFonts w:cs="Arial"/>
          <w:sz w:val="24"/>
          <w:szCs w:val="24"/>
        </w:rPr>
        <w:t>.</w:t>
      </w:r>
    </w:p>
    <w:p w14:paraId="3E074D8F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39374A01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bCs/>
          <w:sz w:val="24"/>
          <w:szCs w:val="24"/>
        </w:rPr>
      </w:pPr>
      <w:r w:rsidRPr="00ED0E69">
        <w:rPr>
          <w:rFonts w:cs="Arial"/>
          <w:b/>
          <w:bCs/>
          <w:caps/>
          <w:sz w:val="24"/>
          <w:szCs w:val="24"/>
        </w:rPr>
        <w:t>Sik-Simon</w:t>
      </w:r>
      <w:r w:rsidRPr="00ED0E69">
        <w:rPr>
          <w:rFonts w:cs="Arial"/>
          <w:b/>
          <w:bCs/>
          <w:sz w:val="24"/>
          <w:szCs w:val="24"/>
        </w:rPr>
        <w:t xml:space="preserve">, Rita, </w:t>
      </w:r>
      <w:r w:rsidRPr="00ED0E69">
        <w:rPr>
          <w:rFonts w:cs="Arial"/>
          <w:bCs/>
          <w:sz w:val="24"/>
          <w:szCs w:val="24"/>
        </w:rPr>
        <w:t xml:space="preserve">Transpozice směrnice o právech spotřebitelů v Maďarsku, Jurisprudence, 5/2013, 21-26, </w:t>
      </w:r>
      <w:r w:rsidRPr="00ED0E69">
        <w:rPr>
          <w:rFonts w:cs="Arial"/>
          <w:sz w:val="24"/>
          <w:szCs w:val="24"/>
        </w:rPr>
        <w:t>ISSN 1802-3843</w:t>
      </w:r>
    </w:p>
    <w:p w14:paraId="191EE726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b/>
          <w:bCs/>
          <w:sz w:val="24"/>
          <w:szCs w:val="24"/>
        </w:rPr>
      </w:pPr>
    </w:p>
    <w:p w14:paraId="51966E07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b/>
          <w:bCs/>
          <w:sz w:val="24"/>
          <w:szCs w:val="24"/>
        </w:rPr>
      </w:pPr>
      <w:r w:rsidRPr="00ED0E69">
        <w:rPr>
          <w:rFonts w:cs="Arial"/>
          <w:b/>
          <w:bCs/>
          <w:caps/>
          <w:sz w:val="24"/>
          <w:szCs w:val="24"/>
        </w:rPr>
        <w:t>Tichý</w:t>
      </w:r>
      <w:r w:rsidRPr="00ED0E69">
        <w:rPr>
          <w:rFonts w:cs="Arial"/>
          <w:b/>
          <w:bCs/>
          <w:sz w:val="24"/>
          <w:szCs w:val="24"/>
        </w:rPr>
        <w:t xml:space="preserve">, Luboš, </w:t>
      </w:r>
      <w:r w:rsidRPr="00ED0E69">
        <w:rPr>
          <w:rFonts w:cs="Arial"/>
          <w:bCs/>
          <w:sz w:val="24"/>
          <w:szCs w:val="24"/>
        </w:rPr>
        <w:t xml:space="preserve">K otázce příčinné souvislosti a proporcionální odpovědnosti za škodu: Na okraj rozhodnutí </w:t>
      </w:r>
      <w:proofErr w:type="spellStart"/>
      <w:r w:rsidRPr="00ED0E69">
        <w:rPr>
          <w:rFonts w:cs="Arial"/>
          <w:bCs/>
          <w:sz w:val="24"/>
          <w:szCs w:val="24"/>
        </w:rPr>
        <w:t>Sienkiewicz</w:t>
      </w:r>
      <w:proofErr w:type="spellEnd"/>
      <w:r w:rsidRPr="00ED0E69">
        <w:rPr>
          <w:rFonts w:cs="Arial"/>
          <w:bCs/>
          <w:sz w:val="24"/>
          <w:szCs w:val="24"/>
        </w:rPr>
        <w:t xml:space="preserve"> v. </w:t>
      </w:r>
      <w:proofErr w:type="spellStart"/>
      <w:r w:rsidRPr="00ED0E69">
        <w:rPr>
          <w:rFonts w:cs="Arial"/>
          <w:bCs/>
          <w:sz w:val="24"/>
          <w:szCs w:val="24"/>
        </w:rPr>
        <w:t>Greif</w:t>
      </w:r>
      <w:proofErr w:type="spellEnd"/>
      <w:r w:rsidRPr="00ED0E69">
        <w:rPr>
          <w:rFonts w:cs="Arial"/>
          <w:bCs/>
          <w:sz w:val="24"/>
          <w:szCs w:val="24"/>
        </w:rPr>
        <w:t xml:space="preserve"> a </w:t>
      </w:r>
      <w:proofErr w:type="spellStart"/>
      <w:r w:rsidRPr="00ED0E69">
        <w:rPr>
          <w:rFonts w:cs="Arial"/>
          <w:bCs/>
          <w:sz w:val="24"/>
          <w:szCs w:val="24"/>
        </w:rPr>
        <w:t>Knowsley</w:t>
      </w:r>
      <w:proofErr w:type="spellEnd"/>
      <w:r w:rsidRPr="00ED0E69">
        <w:rPr>
          <w:rFonts w:cs="Arial"/>
          <w:bCs/>
          <w:sz w:val="24"/>
          <w:szCs w:val="24"/>
        </w:rPr>
        <w:t xml:space="preserve"> v. </w:t>
      </w:r>
      <w:proofErr w:type="spellStart"/>
      <w:r w:rsidRPr="00ED0E69">
        <w:rPr>
          <w:rFonts w:cs="Arial"/>
          <w:bCs/>
          <w:sz w:val="24"/>
          <w:szCs w:val="24"/>
        </w:rPr>
        <w:t>Willmore</w:t>
      </w:r>
      <w:proofErr w:type="spellEnd"/>
      <w:r w:rsidRPr="00ED0E69">
        <w:rPr>
          <w:rFonts w:cs="Arial"/>
          <w:bCs/>
          <w:sz w:val="24"/>
          <w:szCs w:val="24"/>
        </w:rPr>
        <w:t xml:space="preserve">, Jurisprudence,  5/2013, 15-21, </w:t>
      </w:r>
      <w:r w:rsidRPr="00ED0E69">
        <w:rPr>
          <w:rFonts w:cs="Arial"/>
          <w:sz w:val="24"/>
          <w:szCs w:val="24"/>
        </w:rPr>
        <w:t>ISSN 1802-3843</w:t>
      </w:r>
    </w:p>
    <w:p w14:paraId="1307D87D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b/>
          <w:bCs/>
          <w:sz w:val="24"/>
          <w:szCs w:val="24"/>
        </w:rPr>
      </w:pPr>
    </w:p>
    <w:p w14:paraId="2F08F400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bCs/>
          <w:caps/>
          <w:sz w:val="24"/>
          <w:szCs w:val="24"/>
        </w:rPr>
        <w:t>Tichý</w:t>
      </w:r>
      <w:r w:rsidRPr="00ED0E69">
        <w:rPr>
          <w:rFonts w:cs="Arial"/>
          <w:b/>
          <w:bCs/>
          <w:sz w:val="24"/>
          <w:szCs w:val="24"/>
        </w:rPr>
        <w:t>, Luboš</w:t>
      </w:r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Proportional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Liability</w:t>
      </w:r>
      <w:proofErr w:type="spellEnd"/>
      <w:r w:rsidRPr="00ED0E69">
        <w:rPr>
          <w:rFonts w:cs="Arial"/>
          <w:sz w:val="24"/>
          <w:szCs w:val="24"/>
        </w:rPr>
        <w:t xml:space="preserve"> and Natural </w:t>
      </w:r>
      <w:proofErr w:type="spellStart"/>
      <w:r w:rsidRPr="00ED0E69">
        <w:rPr>
          <w:rFonts w:cs="Arial"/>
          <w:sz w:val="24"/>
          <w:szCs w:val="24"/>
        </w:rPr>
        <w:t>Causation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Zeitschrift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für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Europäisches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Privatrecht</w:t>
      </w:r>
      <w:proofErr w:type="spellEnd"/>
      <w:r w:rsidRPr="00ED0E69">
        <w:rPr>
          <w:rFonts w:cs="Arial"/>
          <w:sz w:val="24"/>
          <w:szCs w:val="24"/>
        </w:rPr>
        <w:t>, 2013, 396-414, ISSN 0943-3929</w:t>
      </w:r>
    </w:p>
    <w:p w14:paraId="05856D82" w14:textId="77777777" w:rsidR="00FE191F" w:rsidRPr="00ED0E69" w:rsidRDefault="00FE191F" w:rsidP="00FE191F">
      <w:pPr>
        <w:shd w:val="clear" w:color="auto" w:fill="FFFFFF"/>
        <w:spacing w:after="0" w:line="240" w:lineRule="auto"/>
        <w:contextualSpacing/>
        <w:rPr>
          <w:rFonts w:cs="Arial"/>
          <w:sz w:val="24"/>
          <w:szCs w:val="24"/>
        </w:rPr>
      </w:pPr>
    </w:p>
    <w:p w14:paraId="6AC6CEF8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TICHÝ, Luboš</w:t>
      </w:r>
      <w:r w:rsidRPr="00ED0E69">
        <w:rPr>
          <w:rFonts w:cs="Arial"/>
          <w:sz w:val="24"/>
          <w:szCs w:val="24"/>
        </w:rPr>
        <w:t>, K rozlišování mezi tzv. subjektivní a objektivní odpovědností – rozsudek NS o povaze odpovědnosti advokáta za škodu, Bulletin advokacie, 1-2/2013, 17-23, ISSN 1210-6348</w:t>
      </w:r>
    </w:p>
    <w:p w14:paraId="67FEE984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</w:p>
    <w:p w14:paraId="39515CAC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TICHÝ, Luboš</w:t>
      </w:r>
      <w:r w:rsidRPr="00ED0E69">
        <w:rPr>
          <w:rFonts w:cs="Arial"/>
          <w:sz w:val="24"/>
          <w:szCs w:val="24"/>
        </w:rPr>
        <w:t xml:space="preserve">, Die </w:t>
      </w:r>
      <w:proofErr w:type="spellStart"/>
      <w:r w:rsidRPr="00ED0E69">
        <w:rPr>
          <w:rFonts w:cs="Arial"/>
          <w:sz w:val="24"/>
          <w:szCs w:val="24"/>
        </w:rPr>
        <w:t>Privatisierung</w:t>
      </w:r>
      <w:proofErr w:type="spellEnd"/>
      <w:r w:rsidRPr="00ED0E69">
        <w:rPr>
          <w:rFonts w:cs="Arial"/>
          <w:sz w:val="24"/>
          <w:szCs w:val="24"/>
        </w:rPr>
        <w:t xml:space="preserve"> der </w:t>
      </w:r>
      <w:proofErr w:type="spellStart"/>
      <w:r w:rsidRPr="00ED0E69">
        <w:rPr>
          <w:rFonts w:cs="Arial"/>
          <w:sz w:val="24"/>
          <w:szCs w:val="24"/>
        </w:rPr>
        <w:t>europäischen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sozialen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Gesetzsgebung</w:t>
      </w:r>
      <w:proofErr w:type="spellEnd"/>
      <w:r w:rsidRPr="00ED0E69">
        <w:rPr>
          <w:rFonts w:cs="Arial"/>
          <w:sz w:val="24"/>
          <w:szCs w:val="24"/>
        </w:rPr>
        <w:t xml:space="preserve">? </w:t>
      </w:r>
      <w:proofErr w:type="spellStart"/>
      <w:r w:rsidRPr="00ED0E69">
        <w:rPr>
          <w:rFonts w:cs="Arial"/>
          <w:sz w:val="24"/>
          <w:szCs w:val="24"/>
        </w:rPr>
        <w:t>Zentrum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für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europäisches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Wirtschaftsrecht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Universität</w:t>
      </w:r>
      <w:proofErr w:type="spellEnd"/>
      <w:r w:rsidRPr="00ED0E69">
        <w:rPr>
          <w:rFonts w:cs="Arial"/>
          <w:sz w:val="24"/>
          <w:szCs w:val="24"/>
        </w:rPr>
        <w:t xml:space="preserve"> Bonn, </w:t>
      </w:r>
      <w:proofErr w:type="spellStart"/>
      <w:r w:rsidRPr="00ED0E69">
        <w:rPr>
          <w:rFonts w:cs="Arial"/>
          <w:sz w:val="24"/>
          <w:szCs w:val="24"/>
        </w:rPr>
        <w:t>Nr</w:t>
      </w:r>
      <w:proofErr w:type="spellEnd"/>
      <w:r w:rsidRPr="00ED0E69">
        <w:rPr>
          <w:rFonts w:cs="Arial"/>
          <w:sz w:val="24"/>
          <w:szCs w:val="24"/>
        </w:rPr>
        <w:t>. 200/1, 2013, 65-93</w:t>
      </w:r>
    </w:p>
    <w:p w14:paraId="015D05A9" w14:textId="27E75307" w:rsidR="00FE191F" w:rsidRPr="00ED0E69" w:rsidRDefault="00FE191F" w:rsidP="00FE191F">
      <w:p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Pr="00ED0E69">
        <w:rPr>
          <w:rFonts w:cs="Arial"/>
          <w:b/>
          <w:sz w:val="24"/>
          <w:szCs w:val="24"/>
        </w:rPr>
        <w:t xml:space="preserve"> Luboš, </w:t>
      </w:r>
      <w:r w:rsidRPr="00ED0E69">
        <w:rPr>
          <w:rFonts w:cs="Arial"/>
          <w:b/>
          <w:caps/>
          <w:sz w:val="24"/>
          <w:szCs w:val="24"/>
        </w:rPr>
        <w:t>Sik-Simon</w:t>
      </w:r>
      <w:r w:rsidRPr="00ED0E69">
        <w:rPr>
          <w:rFonts w:cs="Arial"/>
          <w:b/>
          <w:sz w:val="24"/>
          <w:szCs w:val="24"/>
        </w:rPr>
        <w:t xml:space="preserve">, Rita, </w:t>
      </w:r>
      <w:r w:rsidRPr="00ED0E69">
        <w:rPr>
          <w:rFonts w:cs="Arial"/>
          <w:sz w:val="24"/>
          <w:szCs w:val="24"/>
        </w:rPr>
        <w:t xml:space="preserve">A </w:t>
      </w:r>
      <w:proofErr w:type="spellStart"/>
      <w:r w:rsidRPr="00ED0E69">
        <w:rPr>
          <w:rFonts w:cs="Arial"/>
          <w:sz w:val="24"/>
          <w:szCs w:val="24"/>
        </w:rPr>
        <w:t>Cseh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Köztársaság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új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Polgári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Törvénykönyve</w:t>
      </w:r>
      <w:proofErr w:type="spellEnd"/>
      <w:r w:rsidRPr="00ED0E69">
        <w:rPr>
          <w:rFonts w:cs="Arial"/>
          <w:sz w:val="24"/>
          <w:szCs w:val="24"/>
        </w:rPr>
        <w:t xml:space="preserve">  - </w:t>
      </w:r>
      <w:proofErr w:type="spellStart"/>
      <w:r w:rsidRPr="00ED0E69">
        <w:rPr>
          <w:rFonts w:cs="Arial"/>
          <w:sz w:val="24"/>
          <w:szCs w:val="24"/>
        </w:rPr>
        <w:t>kritikus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vázlat</w:t>
      </w:r>
      <w:proofErr w:type="spellEnd"/>
      <w:r w:rsidRPr="00ED0E69">
        <w:rPr>
          <w:rFonts w:cs="Arial"/>
          <w:sz w:val="24"/>
          <w:szCs w:val="24"/>
        </w:rPr>
        <w:t xml:space="preserve"> Magyar </w:t>
      </w:r>
      <w:proofErr w:type="spellStart"/>
      <w:r w:rsidRPr="00ED0E69">
        <w:rPr>
          <w:rFonts w:cs="Arial"/>
          <w:sz w:val="24"/>
          <w:szCs w:val="24"/>
        </w:rPr>
        <w:t>Jog</w:t>
      </w:r>
      <w:proofErr w:type="spellEnd"/>
      <w:r w:rsidRPr="00ED0E69">
        <w:rPr>
          <w:rFonts w:cs="Arial"/>
          <w:sz w:val="24"/>
          <w:szCs w:val="24"/>
        </w:rPr>
        <w:t xml:space="preserve">, HVG </w:t>
      </w:r>
      <w:proofErr w:type="spellStart"/>
      <w:r w:rsidRPr="00ED0E69">
        <w:rPr>
          <w:rFonts w:cs="Arial"/>
          <w:sz w:val="24"/>
          <w:szCs w:val="24"/>
        </w:rPr>
        <w:t>Orac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Kiadó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Budapest</w:t>
      </w:r>
      <w:proofErr w:type="spellEnd"/>
      <w:r w:rsidRPr="00ED0E69">
        <w:rPr>
          <w:rFonts w:cs="Arial"/>
          <w:sz w:val="24"/>
          <w:szCs w:val="24"/>
        </w:rPr>
        <w:t>, 12/2013, s.</w:t>
      </w:r>
      <w:r w:rsidR="000403CD">
        <w:rPr>
          <w:rFonts w:cs="Arial"/>
          <w:sz w:val="24"/>
          <w:szCs w:val="24"/>
        </w:rPr>
        <w:t xml:space="preserve"> 748-753, ISSN 0025-0147</w:t>
      </w:r>
    </w:p>
    <w:p w14:paraId="68AEC955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</w:t>
      </w:r>
      <w:r w:rsidRPr="00ED0E69">
        <w:rPr>
          <w:rFonts w:cs="Arial"/>
          <w:b/>
          <w:sz w:val="24"/>
          <w:szCs w:val="24"/>
        </w:rPr>
        <w:t>, Luboš,</w:t>
      </w:r>
      <w:r w:rsidRPr="00ED0E69">
        <w:rPr>
          <w:rFonts w:cs="Arial"/>
          <w:sz w:val="24"/>
          <w:szCs w:val="24"/>
        </w:rPr>
        <w:t xml:space="preserve"> Nová role mezinárodního práva soukromého a procesního v evropské integraci?, AUC </w:t>
      </w:r>
      <w:proofErr w:type="spellStart"/>
      <w:r w:rsidRPr="00ED0E69">
        <w:rPr>
          <w:rFonts w:cs="Arial"/>
          <w:sz w:val="24"/>
          <w:szCs w:val="24"/>
        </w:rPr>
        <w:t>Juridica</w:t>
      </w:r>
      <w:proofErr w:type="spellEnd"/>
      <w:r w:rsidRPr="00ED0E69">
        <w:rPr>
          <w:rFonts w:cs="Arial"/>
          <w:sz w:val="24"/>
          <w:szCs w:val="24"/>
        </w:rPr>
        <w:t>, 2/2012: 2013, 101-118, ISSN 0323-0619</w:t>
      </w:r>
    </w:p>
    <w:p w14:paraId="146EB0C7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75807AA3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b/>
          <w:caps/>
          <w:sz w:val="24"/>
          <w:szCs w:val="24"/>
        </w:rPr>
        <w:t>Tichý,</w:t>
      </w:r>
      <w:r w:rsidRPr="00ED0E69">
        <w:rPr>
          <w:sz w:val="24"/>
          <w:szCs w:val="24"/>
        </w:rPr>
        <w:t xml:space="preserve"> </w:t>
      </w:r>
      <w:r w:rsidRPr="00ED0E69">
        <w:rPr>
          <w:b/>
          <w:sz w:val="24"/>
          <w:szCs w:val="24"/>
        </w:rPr>
        <w:t>Luboš,</w:t>
      </w:r>
      <w:r w:rsidRPr="00ED0E69">
        <w:rPr>
          <w:sz w:val="24"/>
          <w:szCs w:val="24"/>
        </w:rPr>
        <w:t xml:space="preserve"> Účel a efektivita regulace (usměrňování) hospodářské soutěže, AUC </w:t>
      </w:r>
      <w:proofErr w:type="spellStart"/>
      <w:r w:rsidRPr="00ED0E69">
        <w:rPr>
          <w:sz w:val="24"/>
          <w:szCs w:val="24"/>
        </w:rPr>
        <w:t>Iuridica</w:t>
      </w:r>
      <w:proofErr w:type="spellEnd"/>
      <w:r w:rsidRPr="00ED0E69">
        <w:rPr>
          <w:sz w:val="24"/>
          <w:szCs w:val="24"/>
        </w:rPr>
        <w:t xml:space="preserve">, 2/2012: 2013, 119-136, </w:t>
      </w:r>
      <w:r w:rsidR="00ED0E69">
        <w:rPr>
          <w:rFonts w:cs="Arial"/>
          <w:sz w:val="24"/>
          <w:szCs w:val="24"/>
        </w:rPr>
        <w:t xml:space="preserve"> I</w:t>
      </w:r>
      <w:r w:rsidRPr="00ED0E69">
        <w:rPr>
          <w:rFonts w:cs="Arial"/>
          <w:sz w:val="24"/>
          <w:szCs w:val="24"/>
        </w:rPr>
        <w:t>SSN 0323-0619</w:t>
      </w:r>
    </w:p>
    <w:p w14:paraId="5CEDAFD5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257F5885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  <w:lang w:val="de-DE"/>
        </w:rPr>
      </w:pPr>
      <w:r w:rsidRPr="00ED0E69">
        <w:rPr>
          <w:rFonts w:cs="Arial"/>
          <w:b/>
          <w:caps/>
          <w:sz w:val="24"/>
          <w:szCs w:val="24"/>
          <w:lang w:val="de-DE"/>
        </w:rPr>
        <w:t>Tichý</w:t>
      </w:r>
      <w:r w:rsidRPr="00ED0E69">
        <w:rPr>
          <w:rFonts w:cs="Arial"/>
          <w:b/>
          <w:sz w:val="24"/>
          <w:szCs w:val="24"/>
          <w:lang w:val="de-DE"/>
        </w:rPr>
        <w:t xml:space="preserve">, </w:t>
      </w:r>
      <w:proofErr w:type="spellStart"/>
      <w:r w:rsidRPr="00ED0E69">
        <w:rPr>
          <w:rFonts w:cs="Arial"/>
          <w:b/>
          <w:sz w:val="24"/>
          <w:szCs w:val="24"/>
          <w:lang w:val="de-DE"/>
        </w:rPr>
        <w:t>Luboš</w:t>
      </w:r>
      <w:proofErr w:type="spellEnd"/>
      <w:r w:rsidRPr="00ED0E69">
        <w:rPr>
          <w:rFonts w:cs="Arial"/>
          <w:b/>
          <w:sz w:val="24"/>
          <w:szCs w:val="24"/>
          <w:lang w:val="de-DE"/>
        </w:rPr>
        <w:t>,</w:t>
      </w:r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Pravděpodobnost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v </w:t>
      </w:r>
      <w:proofErr w:type="spellStart"/>
      <w:r w:rsidRPr="00ED0E69">
        <w:rPr>
          <w:rFonts w:cs="Arial"/>
          <w:sz w:val="24"/>
          <w:szCs w:val="24"/>
          <w:lang w:val="de-DE"/>
        </w:rPr>
        <w:t>hmotném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právu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a </w:t>
      </w:r>
      <w:proofErr w:type="spellStart"/>
      <w:r w:rsidRPr="00ED0E69">
        <w:rPr>
          <w:rFonts w:cs="Arial"/>
          <w:sz w:val="24"/>
          <w:szCs w:val="24"/>
          <w:lang w:val="de-DE"/>
        </w:rPr>
        <w:t>míra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důkazů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(</w:t>
      </w:r>
      <w:proofErr w:type="spellStart"/>
      <w:r w:rsidRPr="00ED0E69">
        <w:rPr>
          <w:rFonts w:cs="Arial"/>
          <w:sz w:val="24"/>
          <w:szCs w:val="24"/>
          <w:lang w:val="de-DE"/>
        </w:rPr>
        <w:t>skica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o </w:t>
      </w:r>
      <w:proofErr w:type="spellStart"/>
      <w:r w:rsidRPr="00ED0E69">
        <w:rPr>
          <w:rFonts w:cs="Arial"/>
          <w:sz w:val="24"/>
          <w:szCs w:val="24"/>
          <w:lang w:val="de-DE"/>
        </w:rPr>
        <w:t>možné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změně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paradigmatu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v NOZ), Bulletin </w:t>
      </w:r>
      <w:proofErr w:type="spellStart"/>
      <w:r w:rsidRPr="00ED0E69">
        <w:rPr>
          <w:rFonts w:cs="Arial"/>
          <w:sz w:val="24"/>
          <w:szCs w:val="24"/>
          <w:lang w:val="de-DE"/>
        </w:rPr>
        <w:t>advokacie</w:t>
      </w:r>
      <w:proofErr w:type="spellEnd"/>
      <w:r w:rsidRPr="00ED0E69">
        <w:rPr>
          <w:rFonts w:cs="Arial"/>
          <w:sz w:val="24"/>
          <w:szCs w:val="24"/>
          <w:lang w:val="de-DE"/>
        </w:rPr>
        <w:t>, 12/2013, 28-32, ISSN</w:t>
      </w:r>
      <w:r w:rsidR="00ED0E69">
        <w:rPr>
          <w:rFonts w:cs="Arial"/>
          <w:sz w:val="24"/>
          <w:szCs w:val="24"/>
          <w:lang w:val="de-DE"/>
        </w:rPr>
        <w:t xml:space="preserve"> </w:t>
      </w:r>
      <w:r w:rsidRPr="00ED0E69">
        <w:rPr>
          <w:rFonts w:cs="Arial"/>
          <w:sz w:val="24"/>
          <w:szCs w:val="24"/>
          <w:lang w:val="de-DE"/>
        </w:rPr>
        <w:t>1210-6348</w:t>
      </w:r>
    </w:p>
    <w:p w14:paraId="2173AD80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  <w:lang w:val="de-DE"/>
        </w:rPr>
      </w:pPr>
    </w:p>
    <w:p w14:paraId="6DD3D067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Winterová,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Alena, </w:t>
      </w: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>, Bohumil</w:t>
      </w:r>
      <w:r w:rsidRPr="00ED0E69">
        <w:rPr>
          <w:rFonts w:eastAsia="Times New Roman" w:cs="Arial"/>
          <w:sz w:val="24"/>
          <w:szCs w:val="24"/>
          <w:lang w:eastAsia="cs-CZ" w:bidi="sa-IN"/>
        </w:rPr>
        <w:t>,  Ke 100. výročí narození JUDr. Josefa Rubeše. Právní rozhledy. 2013, č. 23-24, str. 858-859, ISSN 1210-6410</w:t>
      </w:r>
    </w:p>
    <w:p w14:paraId="71EEF581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774D39E4" w14:textId="77777777" w:rsidR="00FE191F" w:rsidRPr="00ED0E69" w:rsidRDefault="00FE191F" w:rsidP="00FE191F">
      <w:pPr>
        <w:spacing w:before="100" w:beforeAutospacing="1" w:after="100" w:afterAutospacing="1" w:line="240" w:lineRule="auto"/>
        <w:rPr>
          <w:b/>
          <w:sz w:val="24"/>
          <w:szCs w:val="24"/>
          <w:u w:val="single"/>
        </w:rPr>
      </w:pPr>
      <w:r w:rsidRPr="00ED0E69">
        <w:rPr>
          <w:b/>
          <w:sz w:val="24"/>
          <w:szCs w:val="24"/>
          <w:u w:val="single"/>
        </w:rPr>
        <w:lastRenderedPageBreak/>
        <w:t>Odborná kniha (B)</w:t>
      </w:r>
    </w:p>
    <w:p w14:paraId="68B2CC8C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Pr="00ED0E69">
        <w:rPr>
          <w:rFonts w:cs="Arial"/>
          <w:b/>
          <w:sz w:val="24"/>
          <w:szCs w:val="24"/>
        </w:rPr>
        <w:t xml:space="preserve"> Luboš,</w:t>
      </w:r>
      <w:r w:rsidRPr="00ED0E69">
        <w:rPr>
          <w:rFonts w:cs="Arial"/>
          <w:sz w:val="24"/>
          <w:szCs w:val="24"/>
        </w:rPr>
        <w:t xml:space="preserve"> Obecná část občanského práva, C. H. Beck, Praha, </w:t>
      </w:r>
      <w:r w:rsidR="00421209" w:rsidRPr="00ED0E69">
        <w:rPr>
          <w:rFonts w:cs="Arial"/>
          <w:sz w:val="24"/>
          <w:szCs w:val="24"/>
        </w:rPr>
        <w:t xml:space="preserve">2013, </w:t>
      </w:r>
      <w:r w:rsidRPr="00ED0E69">
        <w:rPr>
          <w:rFonts w:cs="Arial"/>
          <w:sz w:val="24"/>
          <w:szCs w:val="24"/>
        </w:rPr>
        <w:t>385 stran</w:t>
      </w:r>
    </w:p>
    <w:p w14:paraId="2E5E0647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6823AF74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  <w:lang w:val="de-DE"/>
        </w:rPr>
        <w:t>Tichý</w:t>
      </w:r>
      <w:r w:rsidRPr="00ED0E69">
        <w:rPr>
          <w:rFonts w:cs="Arial"/>
          <w:b/>
          <w:sz w:val="24"/>
          <w:szCs w:val="24"/>
          <w:lang w:val="de-DE"/>
        </w:rPr>
        <w:t xml:space="preserve">, </w:t>
      </w:r>
      <w:proofErr w:type="spellStart"/>
      <w:r w:rsidRPr="00ED0E69">
        <w:rPr>
          <w:rFonts w:cs="Arial"/>
          <w:b/>
          <w:sz w:val="24"/>
          <w:szCs w:val="24"/>
          <w:lang w:val="de-DE"/>
        </w:rPr>
        <w:t>Luboš</w:t>
      </w:r>
      <w:proofErr w:type="spellEnd"/>
      <w:r w:rsidRPr="00ED0E69">
        <w:rPr>
          <w:rFonts w:cs="Arial"/>
          <w:b/>
          <w:sz w:val="24"/>
          <w:szCs w:val="24"/>
          <w:lang w:val="de-DE"/>
        </w:rPr>
        <w:t xml:space="preserve">, </w:t>
      </w:r>
      <w:r w:rsidRPr="00ED0E69">
        <w:rPr>
          <w:rFonts w:cs="Arial"/>
          <w:b/>
          <w:caps/>
          <w:sz w:val="24"/>
          <w:szCs w:val="24"/>
          <w:lang w:val="de-DE"/>
        </w:rPr>
        <w:t>Kocí</w:t>
      </w:r>
      <w:r w:rsidRPr="00ED0E69">
        <w:rPr>
          <w:rFonts w:cs="Arial"/>
          <w:b/>
          <w:sz w:val="24"/>
          <w:szCs w:val="24"/>
          <w:lang w:val="de-DE"/>
        </w:rPr>
        <w:t xml:space="preserve">, </w:t>
      </w:r>
      <w:proofErr w:type="spellStart"/>
      <w:r w:rsidRPr="00ED0E69">
        <w:rPr>
          <w:rFonts w:cs="Arial"/>
          <w:b/>
          <w:sz w:val="24"/>
          <w:szCs w:val="24"/>
          <w:lang w:val="de-DE"/>
        </w:rPr>
        <w:t>Miloš</w:t>
      </w:r>
      <w:proofErr w:type="spellEnd"/>
      <w:r w:rsidRPr="00ED0E69">
        <w:rPr>
          <w:rFonts w:cs="Arial"/>
          <w:b/>
          <w:sz w:val="24"/>
          <w:szCs w:val="24"/>
          <w:lang w:val="de-DE"/>
        </w:rPr>
        <w:t xml:space="preserve"> (</w:t>
      </w:r>
      <w:proofErr w:type="spellStart"/>
      <w:r w:rsidRPr="00ED0E69">
        <w:rPr>
          <w:rFonts w:cs="Arial"/>
          <w:b/>
          <w:sz w:val="24"/>
          <w:szCs w:val="24"/>
          <w:lang w:val="de-DE"/>
        </w:rPr>
        <w:t>eds</w:t>
      </w:r>
      <w:proofErr w:type="spellEnd"/>
      <w:r w:rsidRPr="00ED0E69">
        <w:rPr>
          <w:rFonts w:cs="Arial"/>
          <w:b/>
          <w:sz w:val="24"/>
          <w:szCs w:val="24"/>
          <w:lang w:val="de-DE"/>
        </w:rPr>
        <w:t>.),</w:t>
      </w:r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Spotřebitelská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kupní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sz w:val="24"/>
          <w:szCs w:val="24"/>
          <w:lang w:val="de-DE"/>
        </w:rPr>
        <w:t>smlouva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, 2013, 144 s., </w:t>
      </w:r>
      <w:r w:rsidRPr="00ED0E69">
        <w:rPr>
          <w:rFonts w:cs="Arial"/>
          <w:sz w:val="24"/>
          <w:szCs w:val="24"/>
        </w:rPr>
        <w:t xml:space="preserve"> ISBN 978-80-87488-12-6</w:t>
      </w:r>
    </w:p>
    <w:p w14:paraId="3C0ED0EE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  <w:lang w:val="de-DE"/>
        </w:rPr>
      </w:pPr>
    </w:p>
    <w:p w14:paraId="1F72017F" w14:textId="77777777" w:rsidR="00FE191F" w:rsidRPr="00ED0E69" w:rsidRDefault="00FE191F" w:rsidP="00FE191F">
      <w:pPr>
        <w:rPr>
          <w:b/>
          <w:sz w:val="24"/>
          <w:szCs w:val="24"/>
          <w:u w:val="single"/>
        </w:rPr>
      </w:pPr>
    </w:p>
    <w:p w14:paraId="73B0201A" w14:textId="77777777" w:rsidR="00FE191F" w:rsidRPr="00ED0E69" w:rsidRDefault="00FE191F" w:rsidP="00FE191F">
      <w:pPr>
        <w:rPr>
          <w:b/>
          <w:sz w:val="24"/>
          <w:szCs w:val="24"/>
          <w:u w:val="single"/>
        </w:rPr>
      </w:pPr>
      <w:r w:rsidRPr="00ED0E69">
        <w:rPr>
          <w:b/>
          <w:sz w:val="24"/>
          <w:szCs w:val="24"/>
          <w:u w:val="single"/>
        </w:rPr>
        <w:t>Kapitola (kapitoly) v odborné knize (C)</w:t>
      </w:r>
    </w:p>
    <w:p w14:paraId="46CC83C6" w14:textId="77777777" w:rsidR="00FE191F" w:rsidRPr="00ED0E69" w:rsidRDefault="00FE191F" w:rsidP="00FE191F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Bohumil, 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§ 12 (soudní ochrana) in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Melzer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F.,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Tégl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P.: Občanský zákoník. Velký komentář. I. díl. Praha :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Leges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2013, s. 202-225</w:t>
      </w:r>
    </w:p>
    <w:p w14:paraId="2EE8265C" w14:textId="77777777" w:rsidR="00FE191F" w:rsidRPr="00ED0E69" w:rsidRDefault="00FE191F" w:rsidP="00FE191F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</w:p>
    <w:p w14:paraId="1B1472B0" w14:textId="77777777" w:rsidR="00FE191F" w:rsidRPr="00ED0E69" w:rsidRDefault="00FE191F" w:rsidP="00FE191F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, Bohumil, 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§ 26-28 (důkaz smrti), in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Melzer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F.,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Tégl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P.: Občanský zákoník. Velký komentář. I. díl. Praha :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Leges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2013, s. 325-332</w:t>
      </w:r>
    </w:p>
    <w:p w14:paraId="7A80868D" w14:textId="77777777" w:rsidR="00FE191F" w:rsidRPr="00ED0E69" w:rsidRDefault="00FE191F" w:rsidP="00FE191F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</w:p>
    <w:p w14:paraId="2FB6CD67" w14:textId="77777777" w:rsidR="00FE191F" w:rsidRPr="00ED0E69" w:rsidRDefault="00FE191F" w:rsidP="00FE191F">
      <w:pPr>
        <w:spacing w:after="0" w:line="240" w:lineRule="auto"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Bohumil, 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§ 55-65 (omezení svéprávnosti), in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Melzer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F.,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Tégl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P.: Občanský zákoník. Velký komentář. I. díl. Praha :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Leges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2013, s. 432-458</w:t>
      </w:r>
    </w:p>
    <w:p w14:paraId="12F2BDC4" w14:textId="77777777" w:rsidR="00FE191F" w:rsidRPr="00ED0E69" w:rsidRDefault="00FE191F" w:rsidP="00FE191F">
      <w:pPr>
        <w:spacing w:after="0" w:line="240" w:lineRule="auto"/>
        <w:contextualSpacing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sz w:val="24"/>
          <w:szCs w:val="24"/>
          <w:lang w:eastAsia="cs-CZ" w:bidi="sa-IN"/>
        </w:rPr>
        <w:br/>
      </w: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Bohumil, 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§ 66-70 (nezvěstnost) in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Melzer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F.,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Tégl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P.: Občanský zákoník. Velký komentář. I. díl. Praha :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Leges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2013, s. 458-468</w:t>
      </w:r>
    </w:p>
    <w:p w14:paraId="0566B769" w14:textId="77777777" w:rsidR="00FE191F" w:rsidRPr="00ED0E69" w:rsidRDefault="00FE191F" w:rsidP="00FE191F">
      <w:pPr>
        <w:spacing w:after="0" w:line="240" w:lineRule="auto"/>
        <w:contextualSpacing/>
        <w:rPr>
          <w:rFonts w:eastAsia="Times New Roman" w:cs="Arial"/>
          <w:sz w:val="24"/>
          <w:szCs w:val="24"/>
          <w:lang w:eastAsia="cs-CZ" w:bidi="sa-IN"/>
        </w:rPr>
      </w:pPr>
    </w:p>
    <w:p w14:paraId="5096FB41" w14:textId="77777777" w:rsidR="00FE191F" w:rsidRPr="00ED0E69" w:rsidRDefault="00FE191F" w:rsidP="00FE191F">
      <w:pPr>
        <w:spacing w:after="0" w:line="240" w:lineRule="auto"/>
        <w:contextualSpacing/>
        <w:rPr>
          <w:rFonts w:eastAsia="Times New Roman" w:cs="Arial"/>
          <w:sz w:val="24"/>
          <w:szCs w:val="24"/>
          <w:lang w:eastAsia="cs-CZ" w:bidi="sa-IN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Dvořák,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 Bohumil, </w:t>
      </w:r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§ 71-76 (domněnka smrti) in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Melzer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F.,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Tégl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, P.: Občanský zákoník. Velký komentář. I. díl. Praha : </w:t>
      </w:r>
      <w:proofErr w:type="spellStart"/>
      <w:r w:rsidRPr="00ED0E69">
        <w:rPr>
          <w:rFonts w:eastAsia="Times New Roman" w:cs="Arial"/>
          <w:sz w:val="24"/>
          <w:szCs w:val="24"/>
          <w:lang w:eastAsia="cs-CZ" w:bidi="sa-IN"/>
        </w:rPr>
        <w:t>Leges</w:t>
      </w:r>
      <w:proofErr w:type="spellEnd"/>
      <w:r w:rsidRPr="00ED0E69">
        <w:rPr>
          <w:rFonts w:eastAsia="Times New Roman" w:cs="Arial"/>
          <w:sz w:val="24"/>
          <w:szCs w:val="24"/>
          <w:lang w:eastAsia="cs-CZ" w:bidi="sa-IN"/>
        </w:rPr>
        <w:t xml:space="preserve"> 2013, s. 468-481</w:t>
      </w:r>
    </w:p>
    <w:p w14:paraId="4B31CAB9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b/>
          <w:bCs/>
          <w:sz w:val="24"/>
          <w:szCs w:val="24"/>
        </w:rPr>
      </w:pPr>
    </w:p>
    <w:p w14:paraId="503AFA71" w14:textId="77777777" w:rsidR="00266CE1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b/>
          <w:bCs/>
          <w:sz w:val="24"/>
          <w:szCs w:val="24"/>
        </w:rPr>
        <w:t>TICHÝ, Luboš</w:t>
      </w:r>
      <w:r w:rsidRPr="00ED0E69">
        <w:rPr>
          <w:rFonts w:cs="Arial"/>
          <w:sz w:val="24"/>
          <w:szCs w:val="24"/>
        </w:rPr>
        <w:t xml:space="preserve">,  Der </w:t>
      </w:r>
      <w:proofErr w:type="spellStart"/>
      <w:r w:rsidRPr="00ED0E69">
        <w:rPr>
          <w:rFonts w:cs="Arial"/>
          <w:sz w:val="24"/>
          <w:szCs w:val="24"/>
        </w:rPr>
        <w:t>Rechtsbesitz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seine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Entwicklung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und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seine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Bedeutung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im</w:t>
      </w:r>
      <w:proofErr w:type="spellEnd"/>
      <w:r w:rsidRPr="00ED0E69">
        <w:rPr>
          <w:rFonts w:cs="Arial"/>
          <w:sz w:val="24"/>
          <w:szCs w:val="24"/>
        </w:rPr>
        <w:t xml:space="preserve"> Kontext der </w:t>
      </w:r>
      <w:proofErr w:type="spellStart"/>
      <w:r w:rsidRPr="00ED0E69">
        <w:rPr>
          <w:rFonts w:cs="Arial"/>
          <w:sz w:val="24"/>
          <w:szCs w:val="24"/>
        </w:rPr>
        <w:t>Verdinglichung</w:t>
      </w:r>
      <w:proofErr w:type="spellEnd"/>
      <w:r w:rsidRPr="00ED0E69">
        <w:rPr>
          <w:rFonts w:cs="Arial"/>
          <w:sz w:val="24"/>
          <w:szCs w:val="24"/>
        </w:rPr>
        <w:t xml:space="preserve"> der </w:t>
      </w:r>
      <w:proofErr w:type="spellStart"/>
      <w:r w:rsidRPr="00ED0E69">
        <w:rPr>
          <w:rFonts w:cs="Arial"/>
          <w:sz w:val="24"/>
          <w:szCs w:val="24"/>
        </w:rPr>
        <w:t>Forderungsrechte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Festchrift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für</w:t>
      </w:r>
      <w:proofErr w:type="spellEnd"/>
      <w:r w:rsidRPr="00ED0E69">
        <w:rPr>
          <w:rFonts w:cs="Arial"/>
          <w:sz w:val="24"/>
          <w:szCs w:val="24"/>
        </w:rPr>
        <w:t xml:space="preserve"> Gert </w:t>
      </w:r>
      <w:proofErr w:type="spellStart"/>
      <w:r w:rsidRPr="00ED0E69">
        <w:rPr>
          <w:rFonts w:cs="Arial"/>
          <w:sz w:val="24"/>
          <w:szCs w:val="24"/>
        </w:rPr>
        <w:t>Iro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zum</w:t>
      </w:r>
      <w:proofErr w:type="spellEnd"/>
      <w:r w:rsidRPr="00ED0E69">
        <w:rPr>
          <w:rFonts w:cs="Arial"/>
          <w:sz w:val="24"/>
          <w:szCs w:val="24"/>
        </w:rPr>
        <w:t xml:space="preserve"> 65. </w:t>
      </w:r>
      <w:proofErr w:type="spellStart"/>
      <w:r w:rsidRPr="00ED0E69">
        <w:rPr>
          <w:rFonts w:cs="Arial"/>
          <w:sz w:val="24"/>
          <w:szCs w:val="24"/>
        </w:rPr>
        <w:t>Geburtstag</w:t>
      </w:r>
      <w:proofErr w:type="spellEnd"/>
      <w:r w:rsidRPr="00ED0E69">
        <w:rPr>
          <w:rFonts w:cs="Arial"/>
          <w:sz w:val="24"/>
          <w:szCs w:val="24"/>
        </w:rPr>
        <w:t xml:space="preserve">. St. </w:t>
      </w:r>
      <w:proofErr w:type="spellStart"/>
      <w:r w:rsidRPr="00ED0E69">
        <w:rPr>
          <w:rFonts w:cs="Arial"/>
          <w:sz w:val="24"/>
          <w:szCs w:val="24"/>
        </w:rPr>
        <w:t>Perner</w:t>
      </w:r>
      <w:proofErr w:type="spellEnd"/>
      <w:r w:rsidRPr="00ED0E69">
        <w:rPr>
          <w:rFonts w:cs="Arial"/>
          <w:sz w:val="24"/>
          <w:szCs w:val="24"/>
        </w:rPr>
        <w:t xml:space="preserve">, Olaf </w:t>
      </w:r>
      <w:proofErr w:type="spellStart"/>
      <w:r w:rsidRPr="00ED0E69">
        <w:rPr>
          <w:rFonts w:cs="Arial"/>
          <w:sz w:val="24"/>
          <w:szCs w:val="24"/>
        </w:rPr>
        <w:t>Riss</w:t>
      </w:r>
      <w:proofErr w:type="spellEnd"/>
      <w:r w:rsidRPr="00ED0E69">
        <w:rPr>
          <w:rFonts w:cs="Arial"/>
          <w:sz w:val="24"/>
          <w:szCs w:val="24"/>
        </w:rPr>
        <w:t xml:space="preserve"> (</w:t>
      </w:r>
      <w:proofErr w:type="spellStart"/>
      <w:r w:rsidRPr="00ED0E69">
        <w:rPr>
          <w:rFonts w:cs="Arial"/>
          <w:sz w:val="24"/>
          <w:szCs w:val="24"/>
        </w:rPr>
        <w:t>eds</w:t>
      </w:r>
      <w:proofErr w:type="spellEnd"/>
      <w:r w:rsidRPr="00ED0E69">
        <w:rPr>
          <w:rFonts w:cs="Arial"/>
          <w:sz w:val="24"/>
          <w:szCs w:val="24"/>
        </w:rPr>
        <w:t xml:space="preserve">.), Jan </w:t>
      </w:r>
      <w:proofErr w:type="spellStart"/>
      <w:r w:rsidRPr="00ED0E69">
        <w:rPr>
          <w:rFonts w:cs="Arial"/>
          <w:sz w:val="24"/>
          <w:szCs w:val="24"/>
        </w:rPr>
        <w:t>Sramek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Verlag</w:t>
      </w:r>
      <w:proofErr w:type="spellEnd"/>
      <w:r w:rsidRPr="00ED0E69">
        <w:rPr>
          <w:rFonts w:cs="Arial"/>
          <w:sz w:val="24"/>
          <w:szCs w:val="24"/>
        </w:rPr>
        <w:t xml:space="preserve"> 2013,</w:t>
      </w:r>
      <w:r w:rsidR="00ED0E69" w:rsidRPr="00ED0E69">
        <w:rPr>
          <w:rFonts w:cs="Arial"/>
          <w:sz w:val="24"/>
          <w:szCs w:val="24"/>
        </w:rPr>
        <w:t xml:space="preserve"> 229-243</w:t>
      </w:r>
      <w:r w:rsidR="00ED0E69">
        <w:rPr>
          <w:rFonts w:cs="Arial"/>
          <w:sz w:val="24"/>
          <w:szCs w:val="24"/>
        </w:rPr>
        <w:t xml:space="preserve">, </w:t>
      </w:r>
      <w:r w:rsidR="00266CE1">
        <w:rPr>
          <w:rFonts w:cs="Arial"/>
          <w:sz w:val="24"/>
          <w:szCs w:val="24"/>
        </w:rPr>
        <w:t xml:space="preserve"> ISBN 978-3-902638-76-2</w:t>
      </w:r>
    </w:p>
    <w:p w14:paraId="01A695B9" w14:textId="77777777" w:rsidR="00FE191F" w:rsidRPr="00ED0E69" w:rsidRDefault="00FE191F" w:rsidP="00FE191F">
      <w:pPr>
        <w:pStyle w:val="Odstavecseseznamem"/>
        <w:spacing w:after="0"/>
        <w:ind w:left="0"/>
        <w:rPr>
          <w:rFonts w:cs="Arial"/>
          <w:sz w:val="24"/>
          <w:szCs w:val="24"/>
        </w:rPr>
      </w:pPr>
      <w:r w:rsidRPr="00ED0E69">
        <w:rPr>
          <w:rFonts w:cs="Arial"/>
          <w:sz w:val="24"/>
          <w:szCs w:val="24"/>
        </w:rPr>
        <w:t xml:space="preserve"> </w:t>
      </w:r>
    </w:p>
    <w:p w14:paraId="6ECA976C" w14:textId="3C7CBF6D" w:rsidR="00FE191F" w:rsidRPr="00ED0E69" w:rsidRDefault="00FE191F" w:rsidP="00FE191F">
      <w:pPr>
        <w:spacing w:after="0" w:line="240" w:lineRule="auto"/>
        <w:rPr>
          <w:rFonts w:eastAsia="Times New Roman" w:cs="Times New Roman"/>
          <w:sz w:val="24"/>
          <w:szCs w:val="24"/>
          <w:lang w:val="en-US" w:eastAsia="cs-CZ"/>
        </w:rPr>
      </w:pPr>
      <w:r w:rsidRPr="00ED0E69">
        <w:rPr>
          <w:rFonts w:eastAsia="Times New Roman" w:cs="Times New Roman"/>
          <w:b/>
          <w:caps/>
          <w:sz w:val="24"/>
          <w:szCs w:val="24"/>
          <w:lang w:val="en-US" w:eastAsia="cs-CZ"/>
        </w:rPr>
        <w:t>Tichý</w:t>
      </w:r>
      <w:r w:rsidRPr="00ED0E69">
        <w:rPr>
          <w:rFonts w:eastAsia="Times New Roman" w:cs="Times New Roman"/>
          <w:b/>
          <w:sz w:val="24"/>
          <w:szCs w:val="24"/>
          <w:lang w:val="en-US" w:eastAsia="cs-CZ"/>
        </w:rPr>
        <w:t xml:space="preserve">, </w:t>
      </w:r>
      <w:proofErr w:type="spellStart"/>
      <w:r w:rsidRPr="00ED0E69">
        <w:rPr>
          <w:rFonts w:eastAsia="Times New Roman" w:cs="Times New Roman"/>
          <w:b/>
          <w:sz w:val="24"/>
          <w:szCs w:val="24"/>
          <w:lang w:val="en-US" w:eastAsia="cs-CZ"/>
        </w:rPr>
        <w:t>Luboš</w:t>
      </w:r>
      <w:proofErr w:type="spellEnd"/>
      <w:r w:rsidRPr="00ED0E69">
        <w:rPr>
          <w:rFonts w:eastAsia="Times New Roman" w:cs="Times New Roman"/>
          <w:b/>
          <w:sz w:val="24"/>
          <w:szCs w:val="24"/>
          <w:lang w:val="en-US" w:eastAsia="cs-CZ"/>
        </w:rPr>
        <w:t>,</w:t>
      </w:r>
      <w:r w:rsidRPr="00ED0E69">
        <w:rPr>
          <w:rFonts w:eastAsia="Times New Roman" w:cs="Times New Roman"/>
          <w:sz w:val="24"/>
          <w:szCs w:val="24"/>
          <w:lang w:val="en-US" w:eastAsia="cs-CZ"/>
        </w:rPr>
        <w:t xml:space="preserve"> </w:t>
      </w:r>
      <w:r w:rsidRPr="00ED0E69">
        <w:rPr>
          <w:rFonts w:eastAsia="Times New Roman" w:cs="Times New Roman"/>
          <w:b/>
          <w:caps/>
          <w:sz w:val="24"/>
          <w:szCs w:val="24"/>
          <w:lang w:val="en-US" w:eastAsia="cs-CZ"/>
        </w:rPr>
        <w:t>Hrádek</w:t>
      </w:r>
      <w:r w:rsidRPr="00ED0E69">
        <w:rPr>
          <w:rFonts w:eastAsia="Times New Roman" w:cs="Times New Roman"/>
          <w:b/>
          <w:sz w:val="24"/>
          <w:szCs w:val="24"/>
          <w:lang w:val="en-US" w:eastAsia="cs-CZ"/>
        </w:rPr>
        <w:t xml:space="preserve">, </w:t>
      </w:r>
      <w:proofErr w:type="spellStart"/>
      <w:r w:rsidRPr="00ED0E69">
        <w:rPr>
          <w:rFonts w:eastAsia="Times New Roman" w:cs="Times New Roman"/>
          <w:b/>
          <w:sz w:val="24"/>
          <w:szCs w:val="24"/>
          <w:lang w:val="en-US" w:eastAsia="cs-CZ"/>
        </w:rPr>
        <w:t>Jiří</w:t>
      </w:r>
      <w:proofErr w:type="spellEnd"/>
      <w:r w:rsidR="000403CD">
        <w:rPr>
          <w:rFonts w:eastAsia="Times New Roman" w:cs="Times New Roman"/>
          <w:sz w:val="24"/>
          <w:szCs w:val="24"/>
          <w:lang w:val="en-US" w:eastAsia="cs-CZ"/>
        </w:rPr>
        <w:t xml:space="preserve">, in </w:t>
      </w:r>
      <w:r w:rsidRPr="00ED0E69">
        <w:rPr>
          <w:rFonts w:eastAsia="Times New Roman" w:cs="Times New Roman"/>
          <w:sz w:val="24"/>
          <w:szCs w:val="24"/>
          <w:lang w:val="en-US" w:eastAsia="cs-CZ"/>
        </w:rPr>
        <w:t>Gilead, Green, Koch (eds.), Proportional Liability: Analytical and Comparative Perspe</w:t>
      </w:r>
      <w:r w:rsidR="00AB6CBA">
        <w:rPr>
          <w:rFonts w:eastAsia="Times New Roman" w:cs="Times New Roman"/>
          <w:sz w:val="24"/>
          <w:szCs w:val="24"/>
          <w:lang w:val="en-US" w:eastAsia="cs-CZ"/>
        </w:rPr>
        <w:t xml:space="preserve">ctives, de </w:t>
      </w:r>
      <w:proofErr w:type="spellStart"/>
      <w:r w:rsidR="00AB6CBA">
        <w:rPr>
          <w:rFonts w:eastAsia="Times New Roman" w:cs="Times New Roman"/>
          <w:sz w:val="24"/>
          <w:szCs w:val="24"/>
          <w:lang w:val="en-US" w:eastAsia="cs-CZ"/>
        </w:rPr>
        <w:t>Gruyter</w:t>
      </w:r>
      <w:proofErr w:type="spellEnd"/>
      <w:r w:rsidR="00AB6CBA">
        <w:rPr>
          <w:rFonts w:eastAsia="Times New Roman" w:cs="Times New Roman"/>
          <w:sz w:val="24"/>
          <w:szCs w:val="24"/>
          <w:lang w:val="en-US" w:eastAsia="cs-CZ"/>
        </w:rPr>
        <w:t>, 2013</w:t>
      </w:r>
      <w:proofErr w:type="gramStart"/>
      <w:r w:rsidR="00AB6CBA">
        <w:rPr>
          <w:rFonts w:eastAsia="Times New Roman" w:cs="Times New Roman"/>
          <w:sz w:val="24"/>
          <w:szCs w:val="24"/>
          <w:lang w:val="en-US" w:eastAsia="cs-CZ"/>
        </w:rPr>
        <w:t>,  99</w:t>
      </w:r>
      <w:proofErr w:type="gramEnd"/>
      <w:r w:rsidR="00AB6CBA">
        <w:rPr>
          <w:rFonts w:eastAsia="Times New Roman" w:cs="Times New Roman"/>
          <w:sz w:val="24"/>
          <w:szCs w:val="24"/>
          <w:lang w:val="en-US" w:eastAsia="cs-CZ"/>
        </w:rPr>
        <w:t xml:space="preserve"> –</w:t>
      </w:r>
      <w:r w:rsidRPr="00ED0E69">
        <w:rPr>
          <w:rFonts w:eastAsia="Times New Roman" w:cs="Times New Roman"/>
          <w:sz w:val="24"/>
          <w:szCs w:val="24"/>
          <w:lang w:val="en-US" w:eastAsia="cs-CZ"/>
        </w:rPr>
        <w:t>117</w:t>
      </w:r>
    </w:p>
    <w:p w14:paraId="6D1FF36F" w14:textId="77777777" w:rsidR="00FE191F" w:rsidRPr="00ED0E69" w:rsidRDefault="00FE191F" w:rsidP="00FE191F">
      <w:pPr>
        <w:pStyle w:val="Odstavecseseznamem"/>
        <w:spacing w:after="0"/>
        <w:ind w:hanging="289"/>
        <w:rPr>
          <w:rFonts w:cs="Arial"/>
          <w:b/>
          <w:bCs/>
          <w:sz w:val="24"/>
          <w:szCs w:val="24"/>
        </w:rPr>
      </w:pPr>
    </w:p>
    <w:p w14:paraId="7DCACF99" w14:textId="77777777" w:rsidR="00FE191F" w:rsidRPr="00ED0E69" w:rsidRDefault="00FE191F" w:rsidP="00FE191F">
      <w:pPr>
        <w:rPr>
          <w:sz w:val="24"/>
          <w:szCs w:val="24"/>
        </w:rPr>
      </w:pPr>
      <w:r w:rsidRPr="00ED0E69">
        <w:rPr>
          <w:b/>
          <w:caps/>
          <w:sz w:val="24"/>
          <w:szCs w:val="24"/>
        </w:rPr>
        <w:t>Tichý</w:t>
      </w:r>
      <w:r w:rsidRPr="00ED0E69">
        <w:rPr>
          <w:b/>
          <w:sz w:val="24"/>
          <w:szCs w:val="24"/>
        </w:rPr>
        <w:t xml:space="preserve">, Luboš, </w:t>
      </w:r>
      <w:r w:rsidRPr="00ED0E69">
        <w:rPr>
          <w:sz w:val="24"/>
          <w:szCs w:val="24"/>
        </w:rPr>
        <w:t xml:space="preserve">Czech and </w:t>
      </w:r>
      <w:proofErr w:type="spellStart"/>
      <w:r w:rsidRPr="00ED0E69">
        <w:rPr>
          <w:sz w:val="24"/>
          <w:szCs w:val="24"/>
        </w:rPr>
        <w:t>European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Law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of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Obligations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at</w:t>
      </w:r>
      <w:proofErr w:type="spellEnd"/>
      <w:r w:rsidRPr="00ED0E69">
        <w:rPr>
          <w:sz w:val="24"/>
          <w:szCs w:val="24"/>
        </w:rPr>
        <w:t xml:space="preserve"> a </w:t>
      </w:r>
      <w:proofErr w:type="spellStart"/>
      <w:r w:rsidRPr="00ED0E69">
        <w:rPr>
          <w:sz w:val="24"/>
          <w:szCs w:val="24"/>
        </w:rPr>
        <w:t>Turning</w:t>
      </w:r>
      <w:proofErr w:type="spellEnd"/>
      <w:r w:rsidRPr="00ED0E69">
        <w:rPr>
          <w:sz w:val="24"/>
          <w:szCs w:val="24"/>
        </w:rPr>
        <w:t xml:space="preserve"> Point</w:t>
      </w:r>
      <w:r w:rsidRPr="00ED0E69">
        <w:rPr>
          <w:b/>
          <w:sz w:val="24"/>
          <w:szCs w:val="24"/>
        </w:rPr>
        <w:t>.</w:t>
      </w:r>
      <w:r w:rsidRPr="00ED0E69">
        <w:rPr>
          <w:sz w:val="24"/>
          <w:szCs w:val="24"/>
        </w:rPr>
        <w:t xml:space="preserve"> In: </w:t>
      </w:r>
      <w:proofErr w:type="spellStart"/>
      <w:r w:rsidRPr="00ED0E69">
        <w:rPr>
          <w:sz w:val="24"/>
          <w:szCs w:val="24"/>
        </w:rPr>
        <w:t>The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Law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of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Obligations</w:t>
      </w:r>
      <w:proofErr w:type="spellEnd"/>
      <w:r w:rsidRPr="00ED0E69">
        <w:rPr>
          <w:sz w:val="24"/>
          <w:szCs w:val="24"/>
        </w:rPr>
        <w:t xml:space="preserve"> in </w:t>
      </w:r>
      <w:proofErr w:type="spellStart"/>
      <w:r w:rsidRPr="00ED0E69">
        <w:rPr>
          <w:sz w:val="24"/>
          <w:szCs w:val="24"/>
        </w:rPr>
        <w:t>Europe</w:t>
      </w:r>
      <w:proofErr w:type="spellEnd"/>
      <w:r w:rsidRPr="00ED0E69">
        <w:rPr>
          <w:sz w:val="24"/>
          <w:szCs w:val="24"/>
        </w:rPr>
        <w:t xml:space="preserve">: A New </w:t>
      </w:r>
      <w:proofErr w:type="spellStart"/>
      <w:r w:rsidRPr="00ED0E69">
        <w:rPr>
          <w:sz w:val="24"/>
          <w:szCs w:val="24"/>
        </w:rPr>
        <w:t>Wave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of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Codifications</w:t>
      </w:r>
      <w:proofErr w:type="spellEnd"/>
      <w:r w:rsidRPr="00ED0E69">
        <w:rPr>
          <w:sz w:val="24"/>
          <w:szCs w:val="24"/>
        </w:rPr>
        <w:t xml:space="preserve">. </w:t>
      </w:r>
      <w:proofErr w:type="spellStart"/>
      <w:r w:rsidRPr="00ED0E69">
        <w:rPr>
          <w:sz w:val="24"/>
          <w:szCs w:val="24"/>
        </w:rPr>
        <w:t>Eds</w:t>
      </w:r>
      <w:proofErr w:type="spellEnd"/>
      <w:r w:rsidRPr="00ED0E69">
        <w:rPr>
          <w:sz w:val="24"/>
          <w:szCs w:val="24"/>
        </w:rPr>
        <w:t xml:space="preserve">. Reiner Schulze/Fryderyk Zoll, </w:t>
      </w:r>
      <w:proofErr w:type="spellStart"/>
      <w:r w:rsidRPr="00ED0E69">
        <w:rPr>
          <w:sz w:val="24"/>
          <w:szCs w:val="24"/>
        </w:rPr>
        <w:t>Sellier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European</w:t>
      </w:r>
      <w:proofErr w:type="spellEnd"/>
      <w:r w:rsidRPr="00ED0E69">
        <w:rPr>
          <w:sz w:val="24"/>
          <w:szCs w:val="24"/>
        </w:rPr>
        <w:t xml:space="preserve"> </w:t>
      </w:r>
      <w:proofErr w:type="spellStart"/>
      <w:r w:rsidRPr="00ED0E69">
        <w:rPr>
          <w:sz w:val="24"/>
          <w:szCs w:val="24"/>
        </w:rPr>
        <w:t>Law</w:t>
      </w:r>
      <w:proofErr w:type="spellEnd"/>
      <w:r w:rsidRPr="00ED0E69">
        <w:rPr>
          <w:sz w:val="24"/>
          <w:szCs w:val="24"/>
        </w:rPr>
        <w:t>, 2013, 27-51</w:t>
      </w:r>
    </w:p>
    <w:p w14:paraId="688B1E89" w14:textId="77777777" w:rsidR="00FE191F" w:rsidRPr="00ED0E69" w:rsidRDefault="00FE191F" w:rsidP="00FE191F">
      <w:pPr>
        <w:spacing w:after="0" w:line="240" w:lineRule="auto"/>
        <w:contextualSpacing/>
        <w:rPr>
          <w:rFonts w:eastAsia="Times New Roman" w:cs="Arial"/>
          <w:sz w:val="24"/>
          <w:szCs w:val="24"/>
          <w:lang w:eastAsia="cs-CZ" w:bidi="sa-IN"/>
        </w:rPr>
      </w:pPr>
    </w:p>
    <w:p w14:paraId="3C1F54A6" w14:textId="04A70EA8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="000403CD">
        <w:rPr>
          <w:rFonts w:cs="Arial"/>
          <w:b/>
          <w:sz w:val="24"/>
          <w:szCs w:val="24"/>
        </w:rPr>
        <w:t xml:space="preserve"> Luboš</w:t>
      </w:r>
      <w:r w:rsidRPr="00ED0E69">
        <w:rPr>
          <w:rFonts w:cs="Arial"/>
          <w:b/>
          <w:sz w:val="24"/>
          <w:szCs w:val="24"/>
        </w:rPr>
        <w:t>,</w:t>
      </w:r>
      <w:r w:rsidRPr="00ED0E69">
        <w:rPr>
          <w:rFonts w:cs="Arial"/>
          <w:sz w:val="24"/>
          <w:szCs w:val="24"/>
        </w:rPr>
        <w:t xml:space="preserve"> Spotřebitelská kupní smlouva a její vývoj v evropském a českém právu, in L. Tichý, M. </w:t>
      </w:r>
      <w:proofErr w:type="spellStart"/>
      <w:r w:rsidRPr="00ED0E69">
        <w:rPr>
          <w:rFonts w:cs="Arial"/>
          <w:sz w:val="24"/>
          <w:szCs w:val="24"/>
        </w:rPr>
        <w:t>Kocí</w:t>
      </w:r>
      <w:proofErr w:type="spellEnd"/>
      <w:r w:rsidRPr="00ED0E69">
        <w:rPr>
          <w:rFonts w:cs="Arial"/>
          <w:sz w:val="24"/>
          <w:szCs w:val="24"/>
        </w:rPr>
        <w:t>, Spotřebitelská kupní smlouva, 2013, 103-129, ISBN 978-80-87488-12-6</w:t>
      </w:r>
    </w:p>
    <w:p w14:paraId="18FF26D8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0F81EB56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Pr="00ED0E69">
        <w:rPr>
          <w:rFonts w:cs="Arial"/>
          <w:b/>
          <w:sz w:val="24"/>
          <w:szCs w:val="24"/>
        </w:rPr>
        <w:t xml:space="preserve"> Luboš,</w:t>
      </w:r>
      <w:r w:rsidRPr="00ED0E69">
        <w:rPr>
          <w:rFonts w:cs="Arial"/>
          <w:sz w:val="24"/>
          <w:szCs w:val="24"/>
        </w:rPr>
        <w:t xml:space="preserve"> Komentář k § 545 – 609 Nového občanského zákoníku, </w:t>
      </w:r>
      <w:proofErr w:type="spellStart"/>
      <w:r w:rsidRPr="00ED0E69">
        <w:rPr>
          <w:rFonts w:cs="Arial"/>
          <w:sz w:val="24"/>
          <w:szCs w:val="24"/>
        </w:rPr>
        <w:t>Kluwer</w:t>
      </w:r>
      <w:proofErr w:type="spellEnd"/>
      <w:r w:rsidRPr="00ED0E69">
        <w:rPr>
          <w:rFonts w:cs="Arial"/>
          <w:sz w:val="24"/>
          <w:szCs w:val="24"/>
        </w:rPr>
        <w:t>, I. svazek, v tisku</w:t>
      </w:r>
    </w:p>
    <w:p w14:paraId="062E04EF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2E7FEB44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Pr="00ED0E69">
        <w:rPr>
          <w:rFonts w:cs="Arial"/>
          <w:b/>
          <w:sz w:val="24"/>
          <w:szCs w:val="24"/>
        </w:rPr>
        <w:t xml:space="preserve"> Luboš,</w:t>
      </w:r>
      <w:r w:rsidRPr="00ED0E69">
        <w:rPr>
          <w:rFonts w:cs="Arial"/>
          <w:sz w:val="24"/>
          <w:szCs w:val="24"/>
        </w:rPr>
        <w:t xml:space="preserve"> Správa majetku v NOZ, </w:t>
      </w:r>
      <w:proofErr w:type="spellStart"/>
      <w:r w:rsidRPr="00ED0E69">
        <w:rPr>
          <w:rFonts w:cs="Arial"/>
          <w:sz w:val="24"/>
          <w:szCs w:val="24"/>
        </w:rPr>
        <w:t>Kluwer</w:t>
      </w:r>
      <w:proofErr w:type="spellEnd"/>
      <w:r w:rsidRPr="00ED0E69">
        <w:rPr>
          <w:rFonts w:cs="Arial"/>
          <w:sz w:val="24"/>
          <w:szCs w:val="24"/>
        </w:rPr>
        <w:t>, v tisku (komentář k § 1700-1710, 1728-1737)</w:t>
      </w:r>
    </w:p>
    <w:p w14:paraId="7C714A25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2136615C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lastRenderedPageBreak/>
        <w:t>Tichý,</w:t>
      </w:r>
      <w:r w:rsidRPr="00ED0E69">
        <w:rPr>
          <w:rFonts w:cs="Arial"/>
          <w:b/>
          <w:sz w:val="24"/>
          <w:szCs w:val="24"/>
        </w:rPr>
        <w:t xml:space="preserve"> Luboš,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Prevention</w:t>
      </w:r>
      <w:proofErr w:type="spellEnd"/>
      <w:r w:rsidRPr="00ED0E69">
        <w:rPr>
          <w:rFonts w:cs="Arial"/>
          <w:sz w:val="24"/>
          <w:szCs w:val="24"/>
        </w:rPr>
        <w:t xml:space="preserve"> in </w:t>
      </w:r>
      <w:proofErr w:type="spellStart"/>
      <w:r w:rsidRPr="00ED0E69">
        <w:rPr>
          <w:rFonts w:cs="Arial"/>
          <w:sz w:val="24"/>
          <w:szCs w:val="24"/>
        </w:rPr>
        <w:t>Law</w:t>
      </w:r>
      <w:proofErr w:type="spellEnd"/>
      <w:r w:rsidRPr="00ED0E69">
        <w:rPr>
          <w:rFonts w:cs="Arial"/>
          <w:sz w:val="24"/>
          <w:szCs w:val="24"/>
        </w:rPr>
        <w:t xml:space="preserve">: </w:t>
      </w:r>
      <w:proofErr w:type="spellStart"/>
      <w:r w:rsidRPr="00ED0E69">
        <w:rPr>
          <w:rFonts w:cs="Arial"/>
          <w:sz w:val="24"/>
          <w:szCs w:val="24"/>
        </w:rPr>
        <w:t>Special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Focus</w:t>
      </w:r>
      <w:proofErr w:type="spellEnd"/>
      <w:r w:rsidRPr="00ED0E69">
        <w:rPr>
          <w:rFonts w:cs="Arial"/>
          <w:sz w:val="24"/>
          <w:szCs w:val="24"/>
        </w:rPr>
        <w:t xml:space="preserve"> on </w:t>
      </w:r>
      <w:proofErr w:type="spellStart"/>
      <w:r w:rsidRPr="00ED0E69">
        <w:rPr>
          <w:rFonts w:cs="Arial"/>
          <w:sz w:val="24"/>
          <w:szCs w:val="24"/>
        </w:rPr>
        <w:t>Tort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Law</w:t>
      </w:r>
      <w:proofErr w:type="spellEnd"/>
      <w:r w:rsidRPr="00ED0E69">
        <w:rPr>
          <w:rFonts w:cs="Arial"/>
          <w:sz w:val="24"/>
          <w:szCs w:val="24"/>
        </w:rPr>
        <w:t xml:space="preserve">, in L. Tichý, J. Hrádek </w:t>
      </w:r>
      <w:proofErr w:type="spellStart"/>
      <w:r w:rsidRPr="00ED0E69">
        <w:rPr>
          <w:rFonts w:cs="Arial"/>
          <w:sz w:val="24"/>
          <w:szCs w:val="24"/>
        </w:rPr>
        <w:t>Prevention</w:t>
      </w:r>
      <w:proofErr w:type="spellEnd"/>
      <w:r w:rsidRPr="00ED0E69">
        <w:rPr>
          <w:rFonts w:cs="Arial"/>
          <w:sz w:val="24"/>
          <w:szCs w:val="24"/>
        </w:rPr>
        <w:t xml:space="preserve"> in </w:t>
      </w:r>
      <w:proofErr w:type="spellStart"/>
      <w:r w:rsidRPr="00ED0E69">
        <w:rPr>
          <w:rFonts w:cs="Arial"/>
          <w:sz w:val="24"/>
          <w:szCs w:val="24"/>
        </w:rPr>
        <w:t>Law</w:t>
      </w:r>
      <w:proofErr w:type="spellEnd"/>
      <w:r w:rsidRPr="00ED0E69">
        <w:rPr>
          <w:rFonts w:cs="Arial"/>
          <w:sz w:val="24"/>
          <w:szCs w:val="24"/>
        </w:rPr>
        <w:t>, 2013, 9-29, ISBN 978-80-87146-90-3</w:t>
      </w:r>
    </w:p>
    <w:p w14:paraId="3E41B9E6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7A857E39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Tichý,</w:t>
      </w:r>
      <w:r w:rsidRPr="00ED0E69">
        <w:rPr>
          <w:rFonts w:cs="Arial"/>
          <w:b/>
          <w:sz w:val="24"/>
          <w:szCs w:val="24"/>
        </w:rPr>
        <w:t xml:space="preserve"> Luboš,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Tschechischer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Verbraucherschutz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im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Kaufrecht</w:t>
      </w:r>
      <w:proofErr w:type="spellEnd"/>
      <w:r w:rsidRPr="00ED0E69">
        <w:rPr>
          <w:rFonts w:cs="Arial"/>
          <w:sz w:val="24"/>
          <w:szCs w:val="24"/>
        </w:rPr>
        <w:t xml:space="preserve"> der NZGB </w:t>
      </w:r>
      <w:proofErr w:type="spellStart"/>
      <w:r w:rsidRPr="00ED0E69">
        <w:rPr>
          <w:rFonts w:cs="Arial"/>
          <w:sz w:val="24"/>
          <w:szCs w:val="24"/>
        </w:rPr>
        <w:t>und</w:t>
      </w:r>
      <w:proofErr w:type="spellEnd"/>
      <w:r w:rsidRPr="00ED0E69">
        <w:rPr>
          <w:rFonts w:cs="Arial"/>
          <w:sz w:val="24"/>
          <w:szCs w:val="24"/>
        </w:rPr>
        <w:t xml:space="preserve"> CESL, M. Schmidt-</w:t>
      </w:r>
      <w:proofErr w:type="spellStart"/>
      <w:r w:rsidRPr="00ED0E69">
        <w:rPr>
          <w:rFonts w:cs="Arial"/>
          <w:sz w:val="24"/>
          <w:szCs w:val="24"/>
        </w:rPr>
        <w:t>Kessel</w:t>
      </w:r>
      <w:proofErr w:type="spellEnd"/>
      <w:r w:rsidRPr="00ED0E69">
        <w:rPr>
          <w:rFonts w:cs="Arial"/>
          <w:sz w:val="24"/>
          <w:szCs w:val="24"/>
        </w:rPr>
        <w:t xml:space="preserve"> (</w:t>
      </w:r>
      <w:proofErr w:type="spellStart"/>
      <w:r w:rsidRPr="00ED0E69">
        <w:rPr>
          <w:rFonts w:cs="Arial"/>
          <w:sz w:val="24"/>
          <w:szCs w:val="24"/>
        </w:rPr>
        <w:t>ed</w:t>
      </w:r>
      <w:proofErr w:type="spellEnd"/>
      <w:r w:rsidRPr="00ED0E69">
        <w:rPr>
          <w:rFonts w:cs="Arial"/>
          <w:sz w:val="24"/>
          <w:szCs w:val="24"/>
        </w:rPr>
        <w:t>.), Nomos, v tisku</w:t>
      </w:r>
    </w:p>
    <w:p w14:paraId="6E485075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67438D2A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  <w:r w:rsidRPr="00ED0E69">
        <w:rPr>
          <w:rFonts w:cs="Arial"/>
          <w:b/>
          <w:caps/>
          <w:sz w:val="24"/>
          <w:szCs w:val="24"/>
        </w:rPr>
        <w:t>Tichý</w:t>
      </w:r>
      <w:r w:rsidRPr="00ED0E69">
        <w:rPr>
          <w:rFonts w:cs="Arial"/>
          <w:b/>
          <w:sz w:val="24"/>
          <w:szCs w:val="24"/>
        </w:rPr>
        <w:t>, Luboš,</w:t>
      </w:r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Effet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utile</w:t>
      </w:r>
      <w:proofErr w:type="spellEnd"/>
      <w:r w:rsidRPr="00ED0E69">
        <w:rPr>
          <w:rFonts w:cs="Arial"/>
          <w:sz w:val="24"/>
          <w:szCs w:val="24"/>
        </w:rPr>
        <w:t xml:space="preserve"> as </w:t>
      </w:r>
      <w:proofErr w:type="spellStart"/>
      <w:r w:rsidRPr="00ED0E69">
        <w:rPr>
          <w:rFonts w:cs="Arial"/>
          <w:sz w:val="24"/>
          <w:szCs w:val="24"/>
        </w:rPr>
        <w:t>an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arbitrary</w:t>
      </w:r>
      <w:proofErr w:type="spellEnd"/>
      <w:r w:rsidRPr="00ED0E69">
        <w:rPr>
          <w:rFonts w:cs="Arial"/>
          <w:sz w:val="24"/>
          <w:szCs w:val="24"/>
        </w:rPr>
        <w:t xml:space="preserve"> instrument in </w:t>
      </w:r>
      <w:proofErr w:type="spellStart"/>
      <w:r w:rsidRPr="00ED0E69">
        <w:rPr>
          <w:rFonts w:cs="Arial"/>
          <w:sz w:val="24"/>
          <w:szCs w:val="24"/>
        </w:rPr>
        <w:t>the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practice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of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the</w:t>
      </w:r>
      <w:proofErr w:type="spellEnd"/>
      <w:r w:rsidRPr="00ED0E69">
        <w:rPr>
          <w:rFonts w:cs="Arial"/>
          <w:sz w:val="24"/>
          <w:szCs w:val="24"/>
        </w:rPr>
        <w:t xml:space="preserve"> CJEU? </w:t>
      </w:r>
      <w:proofErr w:type="spellStart"/>
      <w:r w:rsidRPr="00ED0E69">
        <w:rPr>
          <w:rFonts w:cs="Arial"/>
          <w:sz w:val="24"/>
          <w:szCs w:val="24"/>
        </w:rPr>
        <w:t>Differencies</w:t>
      </w:r>
      <w:proofErr w:type="spellEnd"/>
      <w:r w:rsidRPr="00ED0E69">
        <w:rPr>
          <w:rFonts w:cs="Arial"/>
          <w:sz w:val="24"/>
          <w:szCs w:val="24"/>
        </w:rPr>
        <w:t xml:space="preserve"> in </w:t>
      </w:r>
      <w:proofErr w:type="spellStart"/>
      <w:r w:rsidRPr="00ED0E69">
        <w:rPr>
          <w:rFonts w:cs="Arial"/>
          <w:sz w:val="24"/>
          <w:szCs w:val="24"/>
        </w:rPr>
        <w:t>its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application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between</w:t>
      </w:r>
      <w:proofErr w:type="spellEnd"/>
      <w:r w:rsidRPr="00ED0E69">
        <w:rPr>
          <w:rFonts w:cs="Arial"/>
          <w:sz w:val="24"/>
          <w:szCs w:val="24"/>
        </w:rPr>
        <w:t xml:space="preserve"> Public and Privat </w:t>
      </w:r>
      <w:proofErr w:type="spellStart"/>
      <w:r w:rsidRPr="00ED0E69">
        <w:rPr>
          <w:rFonts w:cs="Arial"/>
          <w:sz w:val="24"/>
          <w:szCs w:val="24"/>
        </w:rPr>
        <w:t>Law</w:t>
      </w:r>
      <w:proofErr w:type="spellEnd"/>
      <w:r w:rsidRPr="00ED0E69">
        <w:rPr>
          <w:rFonts w:cs="Arial"/>
          <w:sz w:val="24"/>
          <w:szCs w:val="24"/>
        </w:rPr>
        <w:t xml:space="preserve">, in Tichý, </w:t>
      </w:r>
      <w:proofErr w:type="spellStart"/>
      <w:r w:rsidRPr="00ED0E69">
        <w:rPr>
          <w:rFonts w:cs="Arial"/>
          <w:sz w:val="24"/>
          <w:szCs w:val="24"/>
        </w:rPr>
        <w:t>Potacs</w:t>
      </w:r>
      <w:proofErr w:type="spellEnd"/>
      <w:r w:rsidRPr="00ED0E69">
        <w:rPr>
          <w:rFonts w:cs="Arial"/>
          <w:sz w:val="24"/>
          <w:szCs w:val="24"/>
        </w:rPr>
        <w:t xml:space="preserve">, </w:t>
      </w:r>
      <w:proofErr w:type="spellStart"/>
      <w:r w:rsidRPr="00ED0E69">
        <w:rPr>
          <w:rFonts w:cs="Arial"/>
          <w:sz w:val="24"/>
          <w:szCs w:val="24"/>
        </w:rPr>
        <w:t>Dumbrovský</w:t>
      </w:r>
      <w:proofErr w:type="spellEnd"/>
      <w:r w:rsidRPr="00ED0E69">
        <w:rPr>
          <w:rFonts w:cs="Arial"/>
          <w:sz w:val="24"/>
          <w:szCs w:val="24"/>
        </w:rPr>
        <w:t xml:space="preserve"> (</w:t>
      </w:r>
      <w:proofErr w:type="spellStart"/>
      <w:r w:rsidRPr="00ED0E69">
        <w:rPr>
          <w:rFonts w:cs="Arial"/>
          <w:sz w:val="24"/>
          <w:szCs w:val="24"/>
        </w:rPr>
        <w:t>eds</w:t>
      </w:r>
      <w:proofErr w:type="spellEnd"/>
      <w:r w:rsidRPr="00ED0E69">
        <w:rPr>
          <w:rFonts w:cs="Arial"/>
          <w:sz w:val="24"/>
          <w:szCs w:val="24"/>
        </w:rPr>
        <w:t xml:space="preserve">.), </w:t>
      </w:r>
      <w:proofErr w:type="spellStart"/>
      <w:r w:rsidRPr="00ED0E69">
        <w:rPr>
          <w:rFonts w:cs="Arial"/>
          <w:sz w:val="24"/>
          <w:szCs w:val="24"/>
        </w:rPr>
        <w:t>Effet</w:t>
      </w:r>
      <w:proofErr w:type="spellEnd"/>
      <w:r w:rsidRPr="00ED0E69">
        <w:rPr>
          <w:rFonts w:cs="Arial"/>
          <w:sz w:val="24"/>
          <w:szCs w:val="24"/>
        </w:rPr>
        <w:t xml:space="preserve"> </w:t>
      </w:r>
      <w:proofErr w:type="spellStart"/>
      <w:r w:rsidRPr="00ED0E69">
        <w:rPr>
          <w:rFonts w:cs="Arial"/>
          <w:sz w:val="24"/>
          <w:szCs w:val="24"/>
        </w:rPr>
        <w:t>utile</w:t>
      </w:r>
      <w:proofErr w:type="spellEnd"/>
      <w:r w:rsidRPr="00ED0E69">
        <w:rPr>
          <w:rFonts w:cs="Arial"/>
          <w:sz w:val="24"/>
          <w:szCs w:val="24"/>
        </w:rPr>
        <w:t xml:space="preserve"> in </w:t>
      </w:r>
      <w:proofErr w:type="spellStart"/>
      <w:r w:rsidRPr="00ED0E69">
        <w:rPr>
          <w:rFonts w:cs="Arial"/>
          <w:sz w:val="24"/>
          <w:szCs w:val="24"/>
        </w:rPr>
        <w:t>Law</w:t>
      </w:r>
      <w:proofErr w:type="spellEnd"/>
      <w:r w:rsidRPr="00ED0E69">
        <w:rPr>
          <w:rFonts w:cs="Arial"/>
          <w:sz w:val="24"/>
          <w:szCs w:val="24"/>
        </w:rPr>
        <w:t>; PF UK, v tisku</w:t>
      </w:r>
    </w:p>
    <w:p w14:paraId="258B7D6B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</w:rPr>
      </w:pPr>
    </w:p>
    <w:p w14:paraId="735740B1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  <w:lang w:val="de-DE"/>
        </w:rPr>
      </w:pPr>
      <w:r w:rsidRPr="00ED0E69">
        <w:rPr>
          <w:rFonts w:cs="Arial"/>
          <w:b/>
          <w:caps/>
          <w:sz w:val="24"/>
          <w:szCs w:val="24"/>
          <w:lang w:val="de-DE"/>
        </w:rPr>
        <w:t>Tichý,</w:t>
      </w:r>
      <w:r w:rsidRPr="00ED0E69">
        <w:rPr>
          <w:rFonts w:cs="Arial"/>
          <w:b/>
          <w:sz w:val="24"/>
          <w:szCs w:val="24"/>
          <w:lang w:val="de-DE"/>
        </w:rPr>
        <w:t xml:space="preserve"> </w:t>
      </w:r>
      <w:proofErr w:type="spellStart"/>
      <w:r w:rsidRPr="00ED0E69">
        <w:rPr>
          <w:rFonts w:cs="Arial"/>
          <w:b/>
          <w:sz w:val="24"/>
          <w:szCs w:val="24"/>
          <w:lang w:val="de-DE"/>
        </w:rPr>
        <w:t>Luboš</w:t>
      </w:r>
      <w:proofErr w:type="spellEnd"/>
      <w:r w:rsidRPr="00ED0E69">
        <w:rPr>
          <w:rFonts w:cs="Arial"/>
          <w:b/>
          <w:sz w:val="24"/>
          <w:szCs w:val="24"/>
          <w:lang w:val="de-DE"/>
        </w:rPr>
        <w:t>.,</w:t>
      </w:r>
      <w:r w:rsidRPr="00ED0E69">
        <w:rPr>
          <w:rFonts w:cs="Arial"/>
          <w:sz w:val="24"/>
          <w:szCs w:val="24"/>
          <w:lang w:val="de-DE"/>
        </w:rPr>
        <w:t xml:space="preserve"> Wahrscheinlichkeit in das </w:t>
      </w:r>
      <w:proofErr w:type="spellStart"/>
      <w:r w:rsidRPr="00ED0E69">
        <w:rPr>
          <w:rFonts w:cs="Arial"/>
          <w:sz w:val="24"/>
          <w:szCs w:val="24"/>
          <w:lang w:val="de-DE"/>
        </w:rPr>
        <w:t>Beweismass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im Schadenersatzrecht, </w:t>
      </w:r>
      <w:proofErr w:type="spellStart"/>
      <w:r w:rsidRPr="00ED0E69">
        <w:rPr>
          <w:rFonts w:cs="Arial"/>
          <w:sz w:val="24"/>
          <w:szCs w:val="24"/>
          <w:lang w:val="de-DE"/>
        </w:rPr>
        <w:t>Festchrift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für U. Magnus, </w:t>
      </w:r>
      <w:proofErr w:type="spellStart"/>
      <w:r w:rsidRPr="00ED0E69">
        <w:rPr>
          <w:rFonts w:cs="Arial"/>
          <w:sz w:val="24"/>
          <w:szCs w:val="24"/>
          <w:lang w:val="de-DE"/>
        </w:rPr>
        <w:t>Sellier</w:t>
      </w:r>
      <w:proofErr w:type="spellEnd"/>
      <w:r w:rsidRPr="00ED0E69">
        <w:rPr>
          <w:rFonts w:cs="Arial"/>
          <w:sz w:val="24"/>
          <w:szCs w:val="24"/>
          <w:lang w:val="de-DE"/>
        </w:rPr>
        <w:t xml:space="preserve"> 2013, 709-720</w:t>
      </w:r>
    </w:p>
    <w:p w14:paraId="7559C9CC" w14:textId="77777777" w:rsidR="00FE191F" w:rsidRPr="00ED0E69" w:rsidRDefault="00FE191F" w:rsidP="00FE191F">
      <w:pPr>
        <w:spacing w:after="0" w:line="240" w:lineRule="auto"/>
        <w:contextualSpacing/>
        <w:rPr>
          <w:rFonts w:cs="Arial"/>
          <w:sz w:val="24"/>
          <w:szCs w:val="24"/>
          <w:lang w:val="de-DE"/>
        </w:rPr>
      </w:pPr>
    </w:p>
    <w:p w14:paraId="109F8EEC" w14:textId="77777777" w:rsidR="00FE191F" w:rsidRPr="00ED0E69" w:rsidRDefault="00FE191F" w:rsidP="00FE191F">
      <w:pPr>
        <w:rPr>
          <w:sz w:val="24"/>
          <w:szCs w:val="24"/>
        </w:rPr>
      </w:pPr>
    </w:p>
    <w:p w14:paraId="543AB84B" w14:textId="77777777" w:rsidR="00FE191F" w:rsidRPr="00ED0E69" w:rsidRDefault="00FE191F" w:rsidP="00FE191F">
      <w:pPr>
        <w:rPr>
          <w:b/>
          <w:sz w:val="24"/>
          <w:szCs w:val="24"/>
          <w:u w:val="single"/>
        </w:rPr>
      </w:pPr>
      <w:r w:rsidRPr="00ED0E69">
        <w:rPr>
          <w:b/>
          <w:sz w:val="24"/>
          <w:szCs w:val="24"/>
          <w:u w:val="single"/>
        </w:rPr>
        <w:t>Jiné významné výsledky (JN)</w:t>
      </w:r>
    </w:p>
    <w:p w14:paraId="6BBCF6CD" w14:textId="77777777" w:rsidR="00FE191F" w:rsidRPr="00ED0E69" w:rsidRDefault="00FE191F" w:rsidP="00ED0E69">
      <w:pPr>
        <w:spacing w:after="0" w:line="240" w:lineRule="auto"/>
        <w:rPr>
          <w:sz w:val="24"/>
          <w:szCs w:val="24"/>
        </w:rPr>
      </w:pPr>
      <w:r w:rsidRPr="00ED0E69">
        <w:rPr>
          <w:rFonts w:eastAsia="Times New Roman" w:cs="Arial"/>
          <w:b/>
          <w:caps/>
          <w:sz w:val="24"/>
          <w:szCs w:val="24"/>
          <w:lang w:eastAsia="cs-CZ" w:bidi="sa-IN"/>
        </w:rPr>
        <w:t>Ondřejová</w:t>
      </w:r>
      <w:r w:rsidRPr="00ED0E69">
        <w:rPr>
          <w:rFonts w:eastAsia="Times New Roman" w:cs="Arial"/>
          <w:b/>
          <w:sz w:val="24"/>
          <w:szCs w:val="24"/>
          <w:lang w:eastAsia="cs-CZ" w:bidi="sa-IN"/>
        </w:rPr>
        <w:t xml:space="preserve">, Eva, </w:t>
      </w:r>
      <w:r w:rsidRPr="00ED0E69">
        <w:rPr>
          <w:rFonts w:eastAsia="Times New Roman" w:cs="Arial"/>
          <w:sz w:val="24"/>
          <w:szCs w:val="24"/>
          <w:lang w:eastAsia="cs-CZ" w:bidi="sa-IN"/>
        </w:rPr>
        <w:t>Občanskoprávní ochrana osobnosti po její smrti - srovnání platné právní úpravy a úpravy v Novém občanském zákoníku (</w:t>
      </w:r>
      <w:hyperlink r:id="rId11" w:history="1">
        <w:r w:rsidRPr="00ED0E69">
          <w:rPr>
            <w:rFonts w:eastAsia="Times New Roman" w:cs="Arial"/>
            <w:color w:val="0000FF"/>
            <w:sz w:val="24"/>
            <w:szCs w:val="24"/>
            <w:u w:val="single"/>
            <w:lang w:eastAsia="cs-CZ" w:bidi="sa-IN"/>
          </w:rPr>
          <w:t>www.epravo.cz</w:t>
        </w:r>
      </w:hyperlink>
      <w:r w:rsidRPr="00ED0E69">
        <w:rPr>
          <w:rFonts w:eastAsia="Times New Roman" w:cs="Arial"/>
          <w:sz w:val="24"/>
          <w:szCs w:val="24"/>
          <w:lang w:eastAsia="cs-CZ" w:bidi="sa-IN"/>
        </w:rPr>
        <w:t>)</w:t>
      </w:r>
      <w:r w:rsidR="00705054">
        <w:rPr>
          <w:rFonts w:eastAsia="Times New Roman" w:cs="Arial"/>
          <w:sz w:val="24"/>
          <w:szCs w:val="24"/>
          <w:lang w:eastAsia="cs-CZ" w:bidi="sa-IN"/>
        </w:rPr>
        <w:t>, 2014</w:t>
      </w:r>
    </w:p>
    <w:p w14:paraId="4B550358" w14:textId="77777777" w:rsidR="00FE191F" w:rsidRPr="00ED0E69" w:rsidRDefault="00FE191F" w:rsidP="0083507A">
      <w:pPr>
        <w:spacing w:line="408" w:lineRule="auto"/>
        <w:ind w:firstLine="708"/>
        <w:jc w:val="both"/>
        <w:rPr>
          <w:rFonts w:cs="Courier New"/>
          <w:sz w:val="24"/>
          <w:szCs w:val="24"/>
        </w:rPr>
      </w:pPr>
    </w:p>
    <w:sectPr w:rsidR="00FE191F" w:rsidRPr="00ED0E6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3488A" w14:textId="77777777" w:rsidR="00872B91" w:rsidRDefault="00872B91" w:rsidP="0083507A">
      <w:pPr>
        <w:spacing w:after="0" w:line="240" w:lineRule="auto"/>
      </w:pPr>
      <w:r>
        <w:separator/>
      </w:r>
    </w:p>
  </w:endnote>
  <w:endnote w:type="continuationSeparator" w:id="0">
    <w:p w14:paraId="2DFF36DF" w14:textId="77777777" w:rsidR="00872B91" w:rsidRDefault="00872B91" w:rsidP="0083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531557"/>
      <w:docPartObj>
        <w:docPartGallery w:val="Page Numbers (Bottom of Page)"/>
        <w:docPartUnique/>
      </w:docPartObj>
    </w:sdtPr>
    <w:sdtEndPr/>
    <w:sdtContent>
      <w:p w14:paraId="27D87EF6" w14:textId="77777777" w:rsidR="00872B91" w:rsidRDefault="00872B9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C4E">
          <w:rPr>
            <w:noProof/>
          </w:rPr>
          <w:t>1</w:t>
        </w:r>
        <w:r>
          <w:fldChar w:fldCharType="end"/>
        </w:r>
      </w:p>
    </w:sdtContent>
  </w:sdt>
  <w:p w14:paraId="378B61EF" w14:textId="77777777" w:rsidR="00872B91" w:rsidRDefault="00872B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E1DF7" w14:textId="77777777" w:rsidR="00872B91" w:rsidRDefault="00872B91" w:rsidP="0083507A">
      <w:pPr>
        <w:spacing w:after="0" w:line="240" w:lineRule="auto"/>
      </w:pPr>
      <w:r>
        <w:separator/>
      </w:r>
    </w:p>
  </w:footnote>
  <w:footnote w:type="continuationSeparator" w:id="0">
    <w:p w14:paraId="30826A8F" w14:textId="77777777" w:rsidR="00872B91" w:rsidRDefault="00872B91" w:rsidP="00835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1F09"/>
    <w:multiLevelType w:val="hybridMultilevel"/>
    <w:tmpl w:val="C4B4DC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76212"/>
    <w:multiLevelType w:val="hybridMultilevel"/>
    <w:tmpl w:val="0FE670EC"/>
    <w:lvl w:ilvl="0" w:tplc="30988E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344E5B"/>
    <w:multiLevelType w:val="hybridMultilevel"/>
    <w:tmpl w:val="9426EBE0"/>
    <w:lvl w:ilvl="0" w:tplc="C7F0D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1"/>
    <w:rsid w:val="0003325C"/>
    <w:rsid w:val="000403CD"/>
    <w:rsid w:val="00164E1F"/>
    <w:rsid w:val="001E2A56"/>
    <w:rsid w:val="00266CE1"/>
    <w:rsid w:val="00421209"/>
    <w:rsid w:val="00467E2F"/>
    <w:rsid w:val="00482FB1"/>
    <w:rsid w:val="00552B2E"/>
    <w:rsid w:val="0059765A"/>
    <w:rsid w:val="00705054"/>
    <w:rsid w:val="00806AF6"/>
    <w:rsid w:val="0083507A"/>
    <w:rsid w:val="00872B91"/>
    <w:rsid w:val="008C015F"/>
    <w:rsid w:val="008F01D1"/>
    <w:rsid w:val="00932C61"/>
    <w:rsid w:val="00AB6CBA"/>
    <w:rsid w:val="00B31E14"/>
    <w:rsid w:val="00CC7C4E"/>
    <w:rsid w:val="00CD647D"/>
    <w:rsid w:val="00ED0E69"/>
    <w:rsid w:val="00F812BB"/>
    <w:rsid w:val="00FB0AEC"/>
    <w:rsid w:val="00FE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67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F01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3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07A"/>
  </w:style>
  <w:style w:type="paragraph" w:styleId="Zpat">
    <w:name w:val="footer"/>
    <w:basedOn w:val="Normln"/>
    <w:link w:val="ZpatChar"/>
    <w:uiPriority w:val="99"/>
    <w:unhideWhenUsed/>
    <w:rsid w:val="0083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07A"/>
  </w:style>
  <w:style w:type="paragraph" w:styleId="Normlnweb">
    <w:name w:val="Normal (Web)"/>
    <w:basedOn w:val="Normln"/>
    <w:uiPriority w:val="99"/>
    <w:unhideWhenUsed/>
    <w:rsid w:val="00FE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sa-IN"/>
    </w:rPr>
  </w:style>
  <w:style w:type="character" w:styleId="Hypertextovodkaz">
    <w:name w:val="Hyperlink"/>
    <w:uiPriority w:val="99"/>
    <w:unhideWhenUsed/>
    <w:rsid w:val="00FE191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F01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3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07A"/>
  </w:style>
  <w:style w:type="paragraph" w:styleId="Zpat">
    <w:name w:val="footer"/>
    <w:basedOn w:val="Normln"/>
    <w:link w:val="ZpatChar"/>
    <w:uiPriority w:val="99"/>
    <w:unhideWhenUsed/>
    <w:rsid w:val="0083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07A"/>
  </w:style>
  <w:style w:type="paragraph" w:styleId="Normlnweb">
    <w:name w:val="Normal (Web)"/>
    <w:basedOn w:val="Normln"/>
    <w:uiPriority w:val="99"/>
    <w:unhideWhenUsed/>
    <w:rsid w:val="00FE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sa-IN"/>
    </w:rPr>
  </w:style>
  <w:style w:type="character" w:styleId="Hypertextovodkaz">
    <w:name w:val="Hyperlink"/>
    <w:uiPriority w:val="99"/>
    <w:unhideWhenUsed/>
    <w:rsid w:val="00FE191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pravo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ndrassyuni.eu/donauinstitut/publikationen/donauinstitut-working-papers/donauinstitut-working-papers-ser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assyuni.eu/donauinstitut/publikationen/donauinstitut-working-papers/donauinstitut-working-papers-ser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47FAF-7E21-4816-87DD-3BAC8324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2075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Praze, Právnická Fakulta</Company>
  <LinksUpToDate>false</LinksUpToDate>
  <CharactersWithSpaces>14293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 Kostelecká</dc:creator>
  <cp:lastModifiedBy>Ludmila Novackova</cp:lastModifiedBy>
  <cp:revision>2</cp:revision>
  <cp:lastPrinted>2014-02-04T14:36:00Z</cp:lastPrinted>
  <dcterms:created xsi:type="dcterms:W3CDTF">2014-09-12T10:37:00Z</dcterms:created>
  <dcterms:modified xsi:type="dcterms:W3CDTF">2014-09-12T10:37:00Z</dcterms:modified>
</cp:coreProperties>
</file>