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F5" w:rsidRPr="00BD46DA" w:rsidRDefault="00BD46DA" w:rsidP="007405F5">
      <w:pPr>
        <w:jc w:val="both"/>
        <w:rPr>
          <w:sz w:val="24"/>
          <w:szCs w:val="24"/>
        </w:rPr>
      </w:pPr>
      <w:r w:rsidRPr="00BD46DA">
        <w:rPr>
          <w:sz w:val="24"/>
          <w:szCs w:val="24"/>
        </w:rPr>
        <w:t xml:space="preserve">Univerzita Karlova v Praze                                              </w:t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</w:r>
      <w:r w:rsidRPr="00BD46DA">
        <w:rPr>
          <w:sz w:val="24"/>
          <w:szCs w:val="24"/>
        </w:rPr>
        <w:t xml:space="preserve">V Praze dne </w:t>
      </w:r>
      <w:r w:rsidR="007B4F56">
        <w:rPr>
          <w:sz w:val="24"/>
          <w:szCs w:val="24"/>
        </w:rPr>
        <w:t>29. 2.</w:t>
      </w:r>
      <w:r w:rsidRPr="00BD46DA">
        <w:rPr>
          <w:sz w:val="24"/>
          <w:szCs w:val="24"/>
        </w:rPr>
        <w:t xml:space="preserve"> 2012</w:t>
      </w:r>
    </w:p>
    <w:p w:rsidR="00BD46DA" w:rsidRPr="00BD46DA" w:rsidRDefault="00BD46DA" w:rsidP="007405F5">
      <w:pPr>
        <w:jc w:val="both"/>
        <w:rPr>
          <w:sz w:val="24"/>
          <w:szCs w:val="24"/>
        </w:rPr>
      </w:pPr>
      <w:r w:rsidRPr="00BD46DA">
        <w:rPr>
          <w:sz w:val="24"/>
          <w:szCs w:val="24"/>
        </w:rPr>
        <w:t>Právnická fakulta</w:t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</w:r>
      <w:r w:rsidR="007B4F56">
        <w:rPr>
          <w:sz w:val="24"/>
          <w:szCs w:val="24"/>
        </w:rPr>
        <w:tab/>
        <w:t>PF/ 466 /2012</w:t>
      </w:r>
    </w:p>
    <w:p w:rsidR="007405F5" w:rsidRDefault="007405F5" w:rsidP="007405F5">
      <w:pPr>
        <w:jc w:val="both"/>
        <w:rPr>
          <w:b/>
          <w:sz w:val="28"/>
          <w:szCs w:val="28"/>
        </w:rPr>
      </w:pPr>
    </w:p>
    <w:p w:rsidR="00BD46DA" w:rsidRDefault="00BD46DA" w:rsidP="007405F5">
      <w:pPr>
        <w:jc w:val="both"/>
        <w:rPr>
          <w:b/>
          <w:sz w:val="28"/>
          <w:szCs w:val="28"/>
        </w:rPr>
      </w:pPr>
    </w:p>
    <w:p w:rsidR="007B4F56" w:rsidRDefault="00BD46DA" w:rsidP="007405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Opatření děkana č. </w:t>
      </w:r>
      <w:r w:rsidR="007B4F5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="00C13251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2, </w:t>
      </w:r>
    </w:p>
    <w:p w:rsidR="007B4F56" w:rsidRDefault="007B4F56" w:rsidP="007405F5">
      <w:pPr>
        <w:jc w:val="both"/>
        <w:rPr>
          <w:b/>
          <w:sz w:val="28"/>
          <w:szCs w:val="28"/>
        </w:rPr>
      </w:pPr>
    </w:p>
    <w:p w:rsidR="007405F5" w:rsidRDefault="00BD46DA" w:rsidP="007B4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jímž se mění opatření děkana č. 8/2007, výpůjční řád Knihovny Právnické fakulty Univerzity Karlovy v Praze</w:t>
      </w:r>
    </w:p>
    <w:p w:rsidR="00C13251" w:rsidRDefault="00C13251" w:rsidP="007405F5">
      <w:pPr>
        <w:jc w:val="both"/>
        <w:rPr>
          <w:b/>
          <w:sz w:val="28"/>
          <w:szCs w:val="28"/>
        </w:rPr>
      </w:pPr>
    </w:p>
    <w:p w:rsidR="00BD46DA" w:rsidRPr="00BD46DA" w:rsidRDefault="00BD46DA" w:rsidP="00BD46DA">
      <w:pPr>
        <w:jc w:val="center"/>
        <w:rPr>
          <w:sz w:val="24"/>
          <w:szCs w:val="24"/>
        </w:rPr>
      </w:pPr>
      <w:r w:rsidRPr="00BD46DA">
        <w:rPr>
          <w:sz w:val="24"/>
          <w:szCs w:val="24"/>
        </w:rPr>
        <w:t>Čl. I</w:t>
      </w:r>
    </w:p>
    <w:p w:rsidR="00C13251" w:rsidRDefault="00BD46DA" w:rsidP="00740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Opatření děkana č. 8/2007, výpůjční řád Knihovny Právnické fakulty Univerzity Karlovy v Praze se mění takto:</w:t>
      </w:r>
    </w:p>
    <w:p w:rsidR="00BD46DA" w:rsidRPr="00A20493" w:rsidRDefault="00A20493" w:rsidP="00A204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46DA" w:rsidRPr="00A20493">
        <w:rPr>
          <w:sz w:val="24"/>
          <w:szCs w:val="24"/>
        </w:rPr>
        <w:t>Část III. nově zní:</w:t>
      </w:r>
    </w:p>
    <w:p w:rsidR="00BD46DA" w:rsidRDefault="00BD46DA" w:rsidP="00BD46DA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BD46DA">
        <w:rPr>
          <w:b/>
          <w:sz w:val="24"/>
          <w:szCs w:val="24"/>
        </w:rPr>
        <w:t>III.</w:t>
      </w:r>
    </w:p>
    <w:p w:rsidR="00BD46DA" w:rsidRDefault="00BD46DA" w:rsidP="00BD46DA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Uživatelé</w:t>
      </w:r>
    </w:p>
    <w:p w:rsidR="00BD46DA" w:rsidRPr="00BD46DA" w:rsidRDefault="00BD46DA" w:rsidP="00BD46DA">
      <w:pPr>
        <w:pStyle w:val="Odstavecseseznamem"/>
        <w:jc w:val="center"/>
        <w:rPr>
          <w:b/>
          <w:sz w:val="24"/>
          <w:szCs w:val="24"/>
        </w:rPr>
      </w:pPr>
    </w:p>
    <w:p w:rsidR="00C13251" w:rsidRDefault="00C13251" w:rsidP="00BD46DA">
      <w:pPr>
        <w:jc w:val="center"/>
        <w:rPr>
          <w:sz w:val="24"/>
        </w:rPr>
      </w:pPr>
      <w:r>
        <w:rPr>
          <w:sz w:val="24"/>
        </w:rPr>
        <w:t>Čl. 6.</w:t>
      </w:r>
    </w:p>
    <w:p w:rsidR="00C13251" w:rsidRDefault="00C13251" w:rsidP="00C13251">
      <w:pPr>
        <w:pStyle w:val="Zkladntext21"/>
      </w:pPr>
      <w:r>
        <w:t>Knihovna poskytuje služby:</w:t>
      </w:r>
    </w:p>
    <w:p w:rsidR="00C13251" w:rsidRDefault="00C13251" w:rsidP="00C13251">
      <w:pPr>
        <w:numPr>
          <w:ilvl w:val="0"/>
          <w:numId w:val="8"/>
        </w:numPr>
        <w:tabs>
          <w:tab w:val="left" w:pos="360"/>
        </w:tabs>
        <w:rPr>
          <w:sz w:val="24"/>
        </w:rPr>
      </w:pPr>
      <w:r>
        <w:rPr>
          <w:sz w:val="24"/>
        </w:rPr>
        <w:t>interním uživatelům</w:t>
      </w:r>
    </w:p>
    <w:p w:rsidR="00C13251" w:rsidRPr="00A20493" w:rsidRDefault="00C13251" w:rsidP="00C13251">
      <w:pPr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0A20493">
        <w:rPr>
          <w:sz w:val="24"/>
          <w:szCs w:val="24"/>
        </w:rPr>
        <w:t>studentům, učitelům a ostatním zaměstnancům PF UK</w:t>
      </w:r>
    </w:p>
    <w:p w:rsidR="00C13251" w:rsidRPr="00A20493" w:rsidRDefault="00C13251" w:rsidP="00C13251">
      <w:pPr>
        <w:numPr>
          <w:ilvl w:val="0"/>
          <w:numId w:val="9"/>
        </w:numPr>
        <w:tabs>
          <w:tab w:val="left" w:pos="720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studentům, učitelům a ostatním zaměstnancům dalšíc</w:t>
      </w:r>
      <w:r w:rsidR="0041152D" w:rsidRPr="00A20493">
        <w:rPr>
          <w:sz w:val="24"/>
          <w:szCs w:val="24"/>
        </w:rPr>
        <w:t xml:space="preserve">h pracovišť UK </w:t>
      </w:r>
    </w:p>
    <w:p w:rsidR="00C13251" w:rsidRPr="00A20493" w:rsidRDefault="00C13251" w:rsidP="00C13251">
      <w:pPr>
        <w:numPr>
          <w:ilvl w:val="0"/>
          <w:numId w:val="9"/>
        </w:numPr>
        <w:suppressAutoHyphens w:val="0"/>
        <w:rPr>
          <w:sz w:val="24"/>
          <w:szCs w:val="24"/>
        </w:rPr>
      </w:pPr>
      <w:r w:rsidRPr="00A2049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FBD7B" wp14:editId="4FA4DA4B">
                <wp:simplePos x="0" y="0"/>
                <wp:positionH relativeFrom="column">
                  <wp:posOffset>457200</wp:posOffset>
                </wp:positionH>
                <wp:positionV relativeFrom="paragraph">
                  <wp:posOffset>2232660</wp:posOffset>
                </wp:positionV>
                <wp:extent cx="0" cy="0"/>
                <wp:effectExtent l="13970" t="6350" r="5080" b="1270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5.8pt" to="36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"/>
            </w:pict>
          </mc:Fallback>
        </mc:AlternateContent>
      </w:r>
      <w:r w:rsidRPr="00A20493">
        <w:rPr>
          <w:sz w:val="24"/>
          <w:szCs w:val="24"/>
        </w:rPr>
        <w:t>uchazečům o vykonání státní rigorózní zkoušky na PF UK (pouze po úhradě</w:t>
      </w:r>
      <w:r w:rsidRPr="00A20493">
        <w:rPr>
          <w:rFonts w:ascii="Verdana" w:hAnsi="Verdana"/>
          <w:color w:val="111111"/>
          <w:sz w:val="24"/>
          <w:szCs w:val="24"/>
        </w:rPr>
        <w:t xml:space="preserve"> </w:t>
      </w:r>
      <w:r w:rsidRPr="00A20493">
        <w:rPr>
          <w:color w:val="111111"/>
          <w:sz w:val="24"/>
          <w:szCs w:val="24"/>
        </w:rPr>
        <w:t>nákladů spojených s používáním zařízení a informačních technologií)</w:t>
      </w:r>
    </w:p>
    <w:p w:rsidR="00C13251" w:rsidRPr="00A20493" w:rsidRDefault="00C13251" w:rsidP="00C13251">
      <w:pPr>
        <w:numPr>
          <w:ilvl w:val="0"/>
          <w:numId w:val="9"/>
        </w:numPr>
        <w:tabs>
          <w:tab w:val="left" w:pos="720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účastníkům kurzu celoživotního vzdělávání na PF UK</w:t>
      </w:r>
      <w:r w:rsidR="0041152D" w:rsidRPr="00A20493">
        <w:rPr>
          <w:sz w:val="24"/>
          <w:szCs w:val="24"/>
        </w:rPr>
        <w:t xml:space="preserve"> podle § 60 zákona o vysokých </w:t>
      </w:r>
      <w:proofErr w:type="gramStart"/>
      <w:r w:rsidR="0041152D" w:rsidRPr="00A20493">
        <w:rPr>
          <w:sz w:val="24"/>
          <w:szCs w:val="24"/>
        </w:rPr>
        <w:t xml:space="preserve">školách </w:t>
      </w:r>
      <w:r w:rsidRPr="00A20493">
        <w:rPr>
          <w:sz w:val="24"/>
          <w:szCs w:val="24"/>
        </w:rPr>
        <w:t xml:space="preserve"> (dále</w:t>
      </w:r>
      <w:proofErr w:type="gramEnd"/>
      <w:r w:rsidRPr="00A20493">
        <w:rPr>
          <w:sz w:val="24"/>
          <w:szCs w:val="24"/>
        </w:rPr>
        <w:t xml:space="preserve"> jen </w:t>
      </w:r>
      <w:r w:rsidR="00BF0443">
        <w:rPr>
          <w:sz w:val="24"/>
          <w:szCs w:val="24"/>
        </w:rPr>
        <w:t>„</w:t>
      </w:r>
      <w:r w:rsidRPr="00A20493">
        <w:rPr>
          <w:sz w:val="24"/>
          <w:szCs w:val="24"/>
        </w:rPr>
        <w:t>CŽV</w:t>
      </w:r>
      <w:r w:rsidR="00BF0443">
        <w:rPr>
          <w:sz w:val="24"/>
          <w:szCs w:val="24"/>
        </w:rPr>
        <w:t>“</w:t>
      </w:r>
      <w:r w:rsidRPr="00A20493">
        <w:rPr>
          <w:sz w:val="24"/>
          <w:szCs w:val="24"/>
        </w:rPr>
        <w:t>)</w:t>
      </w:r>
    </w:p>
    <w:p w:rsidR="00C13251" w:rsidRPr="00A20493" w:rsidRDefault="00C13251" w:rsidP="00C13251">
      <w:pPr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 xml:space="preserve">externím uživatelům (pouze </w:t>
      </w:r>
      <w:proofErr w:type="gramStart"/>
      <w:r w:rsidRPr="00A20493">
        <w:rPr>
          <w:sz w:val="24"/>
          <w:szCs w:val="24"/>
        </w:rPr>
        <w:t>prezenčně a pokud</w:t>
      </w:r>
      <w:proofErr w:type="gramEnd"/>
      <w:r w:rsidRPr="00A20493">
        <w:rPr>
          <w:sz w:val="24"/>
          <w:szCs w:val="24"/>
        </w:rPr>
        <w:t xml:space="preserve"> to neomezuje požadavky výše uvedených kategorií uživatelů)</w:t>
      </w:r>
    </w:p>
    <w:p w:rsidR="00C13251" w:rsidRPr="00A20493" w:rsidRDefault="00C13251" w:rsidP="00C13251">
      <w:pPr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0A20493">
        <w:rPr>
          <w:sz w:val="24"/>
          <w:szCs w:val="24"/>
        </w:rPr>
        <w:t>studentům, učitelům a zaměstnancům ostatních škol</w:t>
      </w:r>
    </w:p>
    <w:p w:rsidR="00C13251" w:rsidRPr="00A20493" w:rsidRDefault="00C13251" w:rsidP="00C13251">
      <w:pPr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0A20493">
        <w:rPr>
          <w:sz w:val="24"/>
          <w:szCs w:val="24"/>
        </w:rPr>
        <w:t>široké veřejnosti</w:t>
      </w:r>
    </w:p>
    <w:p w:rsidR="00C13251" w:rsidRPr="00A20493" w:rsidRDefault="00C13251" w:rsidP="00C13251">
      <w:pPr>
        <w:numPr>
          <w:ilvl w:val="0"/>
          <w:numId w:val="8"/>
        </w:numPr>
        <w:tabs>
          <w:tab w:val="left" w:pos="360"/>
        </w:tabs>
        <w:rPr>
          <w:sz w:val="24"/>
          <w:szCs w:val="24"/>
        </w:rPr>
      </w:pPr>
      <w:r w:rsidRPr="00A20493">
        <w:rPr>
          <w:sz w:val="24"/>
          <w:szCs w:val="24"/>
        </w:rPr>
        <w:t>kolektivním uživatelům (jiným knihovnám) pouze prostřednictvím MVS</w:t>
      </w:r>
    </w:p>
    <w:p w:rsidR="00C13251" w:rsidRDefault="00C13251" w:rsidP="00C13251">
      <w:pPr>
        <w:rPr>
          <w:sz w:val="24"/>
        </w:rPr>
      </w:pPr>
    </w:p>
    <w:p w:rsidR="00C13251" w:rsidRDefault="00C13251" w:rsidP="00C13251">
      <w:pPr>
        <w:jc w:val="center"/>
        <w:rPr>
          <w:sz w:val="24"/>
        </w:rPr>
      </w:pPr>
      <w:r>
        <w:rPr>
          <w:sz w:val="24"/>
        </w:rPr>
        <w:t>Čl. 7.</w:t>
      </w:r>
    </w:p>
    <w:p w:rsidR="00C13251" w:rsidRDefault="00C13251" w:rsidP="00C13251">
      <w:pPr>
        <w:pStyle w:val="Nadpis2"/>
        <w:numPr>
          <w:ilvl w:val="1"/>
          <w:numId w:val="5"/>
        </w:numPr>
        <w:tabs>
          <w:tab w:val="left" w:pos="0"/>
        </w:tabs>
      </w:pPr>
      <w:proofErr w:type="gramStart"/>
      <w:r>
        <w:t>Evidence  uživatele</w:t>
      </w:r>
      <w:proofErr w:type="gramEnd"/>
    </w:p>
    <w:p w:rsidR="00C13251" w:rsidRDefault="00C13251" w:rsidP="00C13251">
      <w:pPr>
        <w:jc w:val="center"/>
        <w:rPr>
          <w:sz w:val="24"/>
        </w:rPr>
      </w:pPr>
    </w:p>
    <w:p w:rsidR="00C13251" w:rsidRDefault="00C13251" w:rsidP="00D84415">
      <w:pPr>
        <w:pStyle w:val="Zkladntext21"/>
        <w:numPr>
          <w:ilvl w:val="0"/>
          <w:numId w:val="11"/>
        </w:numPr>
        <w:jc w:val="both"/>
        <w:rPr>
          <w:b/>
          <w:color w:val="FF0000"/>
        </w:rPr>
      </w:pPr>
      <w:r>
        <w:t>Uživatelem se stává fyzická osoba zaevidováním uživatele do systému. Evidence se provádí po předložení příslušného typu průkazu</w:t>
      </w:r>
      <w:r>
        <w:rPr>
          <w:rStyle w:val="Znakypropoznmkupodarou"/>
        </w:rPr>
        <w:footnoteReference w:id="1"/>
      </w:r>
      <w:r>
        <w:t>, průkazu totožnosti (občanský průkaz, cestovní pas, popř.</w:t>
      </w:r>
      <w:r w:rsidR="00BF0443">
        <w:t xml:space="preserve"> výkaz o studiu</w:t>
      </w:r>
      <w:r w:rsidR="00D84415">
        <w:t xml:space="preserve"> /</w:t>
      </w:r>
      <w:r w:rsidR="00A20493">
        <w:t>index</w:t>
      </w:r>
      <w:r w:rsidR="00D84415">
        <w:t>/</w:t>
      </w:r>
      <w:r w:rsidR="00A20493">
        <w:t>)</w:t>
      </w:r>
      <w:r>
        <w:t>, vyplněním a podepsáním přihlášky.</w:t>
      </w:r>
      <w:r>
        <w:rPr>
          <w:b/>
          <w:color w:val="FF0000"/>
        </w:rPr>
        <w:t xml:space="preserve"> </w:t>
      </w:r>
    </w:p>
    <w:p w:rsidR="00C13251" w:rsidRDefault="00C13251" w:rsidP="00D84415">
      <w:pPr>
        <w:jc w:val="both"/>
        <w:rPr>
          <w:sz w:val="24"/>
        </w:rPr>
      </w:pPr>
    </w:p>
    <w:p w:rsidR="00C13251" w:rsidRPr="00D84415" w:rsidRDefault="00C13251" w:rsidP="00D84415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D84415">
        <w:rPr>
          <w:sz w:val="24"/>
        </w:rPr>
        <w:t>Podpisem vyplněné přihlášky uživatel zároveň stvrzuje prohlášení, že se seznámil s Výpůjčním řádem, akceptuje dané podmínky a souhlasí s evidencí poskytnutých dat, která jsou vedena výlučně k účelům evidence čtenářů.</w:t>
      </w:r>
    </w:p>
    <w:p w:rsidR="00D84415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</w:rPr>
      </w:pPr>
      <w:r>
        <w:rPr>
          <w:sz w:val="24"/>
        </w:rPr>
        <w:t xml:space="preserve">Základním dokladem pro styk uživatele s knihovnou je uživatelský průkaz ve formě průkazu studenta UK, průkazu zahraničního studenta UK, průkazu zaměstnance UK, </w:t>
      </w:r>
      <w:r>
        <w:rPr>
          <w:sz w:val="24"/>
        </w:rPr>
        <w:lastRenderedPageBreak/>
        <w:t>průkazu</w:t>
      </w:r>
      <w:r w:rsidR="0041152D">
        <w:rPr>
          <w:sz w:val="24"/>
        </w:rPr>
        <w:t xml:space="preserve"> externího uživatele </w:t>
      </w:r>
      <w:r>
        <w:rPr>
          <w:sz w:val="24"/>
        </w:rPr>
        <w:t>služeb</w:t>
      </w:r>
      <w:r w:rsidR="0041152D">
        <w:rPr>
          <w:sz w:val="24"/>
        </w:rPr>
        <w:t xml:space="preserve"> na</w:t>
      </w:r>
      <w:r>
        <w:rPr>
          <w:sz w:val="24"/>
        </w:rPr>
        <w:t xml:space="preserve"> UK, případně další typy průkazů stanovené rektorem UK. Za zneužití průkazu ve vztahu ke knihovně odpovídá jeho držitel, ztrátu</w:t>
      </w:r>
    </w:p>
    <w:p w:rsidR="00C13251" w:rsidRDefault="00C13251" w:rsidP="00D84415">
      <w:pPr>
        <w:ind w:left="720"/>
        <w:jc w:val="both"/>
        <w:rPr>
          <w:sz w:val="24"/>
        </w:rPr>
      </w:pPr>
      <w:r>
        <w:rPr>
          <w:sz w:val="24"/>
        </w:rPr>
        <w:t xml:space="preserve">průkazu je povinen neprodleně knihovně </w:t>
      </w:r>
      <w:proofErr w:type="gramStart"/>
      <w:r>
        <w:rPr>
          <w:sz w:val="24"/>
        </w:rPr>
        <w:t>ohlásit .</w:t>
      </w:r>
      <w:proofErr w:type="gramEnd"/>
    </w:p>
    <w:p w:rsidR="00C13251" w:rsidRPr="00A20493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 xml:space="preserve">Pokud se uživatel neprokáže platným uživatelským průkazem, bude evidován </w:t>
      </w:r>
      <w:proofErr w:type="gramStart"/>
      <w:r w:rsidRPr="00A20493">
        <w:rPr>
          <w:sz w:val="24"/>
          <w:szCs w:val="24"/>
        </w:rPr>
        <w:t>pouze  pro</w:t>
      </w:r>
      <w:proofErr w:type="gramEnd"/>
      <w:r w:rsidRPr="00A20493">
        <w:rPr>
          <w:sz w:val="24"/>
          <w:szCs w:val="24"/>
        </w:rPr>
        <w:t xml:space="preserve"> statistické účely a uhradí poplatek stanovený v Ceníku poplatků a placených služeb jakožto úhradu za administrativní úkon spojený s evidencí.</w:t>
      </w:r>
    </w:p>
    <w:p w:rsidR="00C13251" w:rsidRPr="00A20493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Uživatelský průkaz je pro potřeby knihovny platný:</w:t>
      </w:r>
    </w:p>
    <w:p w:rsidR="00C13251" w:rsidRPr="00D84415" w:rsidRDefault="0041152D" w:rsidP="00D844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84415">
        <w:rPr>
          <w:sz w:val="24"/>
          <w:szCs w:val="24"/>
        </w:rPr>
        <w:t xml:space="preserve">u studentů UK a účastníků kurzu CŽV </w:t>
      </w:r>
      <w:r w:rsidR="00BF0443" w:rsidRPr="00D84415">
        <w:rPr>
          <w:sz w:val="24"/>
          <w:szCs w:val="24"/>
        </w:rPr>
        <w:t>jeden</w:t>
      </w:r>
      <w:r w:rsidRPr="00D84415">
        <w:rPr>
          <w:sz w:val="24"/>
          <w:szCs w:val="24"/>
        </w:rPr>
        <w:t xml:space="preserve"> akademický rok, př</w:t>
      </w:r>
      <w:r w:rsidR="00C13251" w:rsidRPr="00D84415">
        <w:rPr>
          <w:sz w:val="24"/>
          <w:szCs w:val="24"/>
        </w:rPr>
        <w:t>ičemž po dobu studia ho lze prodloužit, avšak vždy jen na další akademický rok. Platnost uživatelského průkazu studentů PF UK končí dnem vykonání poslední části státní závěrečné zkoušky</w:t>
      </w:r>
      <w:r w:rsidRPr="00D84415">
        <w:rPr>
          <w:sz w:val="24"/>
          <w:szCs w:val="24"/>
        </w:rPr>
        <w:t>, u účastníků kurzu CŽV dnem ukončení kurzu</w:t>
      </w:r>
      <w:r w:rsidR="00C13251" w:rsidRPr="00D84415">
        <w:rPr>
          <w:sz w:val="24"/>
          <w:szCs w:val="24"/>
        </w:rPr>
        <w:t>.</w:t>
      </w:r>
    </w:p>
    <w:p w:rsidR="00C13251" w:rsidRPr="00A20493" w:rsidRDefault="00C13251" w:rsidP="00C13251">
      <w:pPr>
        <w:numPr>
          <w:ilvl w:val="0"/>
          <w:numId w:val="7"/>
        </w:numPr>
        <w:tabs>
          <w:tab w:val="left" w:pos="720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u externích uživatelů</w:t>
      </w:r>
      <w:r w:rsidR="0041152D" w:rsidRPr="00A20493">
        <w:rPr>
          <w:sz w:val="24"/>
          <w:szCs w:val="24"/>
        </w:rPr>
        <w:t xml:space="preserve"> a u uchazečů o vykonání státní rigorózní zkoušky na PF UK uvedených v čl. 6, </w:t>
      </w:r>
      <w:proofErr w:type="spellStart"/>
      <w:r w:rsidR="0041152D" w:rsidRPr="00A20493">
        <w:rPr>
          <w:sz w:val="24"/>
          <w:szCs w:val="24"/>
        </w:rPr>
        <w:t>písm</w:t>
      </w:r>
      <w:proofErr w:type="spellEnd"/>
      <w:r w:rsidR="0041152D" w:rsidRPr="00A20493">
        <w:rPr>
          <w:sz w:val="24"/>
          <w:szCs w:val="24"/>
        </w:rPr>
        <w:t xml:space="preserve"> a) </w:t>
      </w:r>
      <w:r w:rsidR="00BF0443">
        <w:rPr>
          <w:sz w:val="24"/>
          <w:szCs w:val="24"/>
        </w:rPr>
        <w:t xml:space="preserve">jeden </w:t>
      </w:r>
      <w:r w:rsidRPr="00A20493">
        <w:rPr>
          <w:sz w:val="24"/>
          <w:szCs w:val="24"/>
        </w:rPr>
        <w:t>kalendářní rok. Po této době lze platnost průkazu prodloužit. U hostů a posluchačů placených kurzů je platnost uživatelského průkazu omezena na dobu trvání pobytu nebo kurzu.</w:t>
      </w:r>
    </w:p>
    <w:p w:rsidR="00C13251" w:rsidRPr="00A20493" w:rsidRDefault="00C13251" w:rsidP="00C13251">
      <w:pPr>
        <w:numPr>
          <w:ilvl w:val="0"/>
          <w:numId w:val="7"/>
        </w:numPr>
        <w:tabs>
          <w:tab w:val="left" w:pos="720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 xml:space="preserve">u učitelů a ostatních zaměstnanců UK </w:t>
      </w:r>
      <w:r w:rsidR="00D84415">
        <w:rPr>
          <w:sz w:val="24"/>
          <w:szCs w:val="24"/>
        </w:rPr>
        <w:t>jeden</w:t>
      </w:r>
      <w:r w:rsidRPr="00A20493">
        <w:rPr>
          <w:sz w:val="24"/>
          <w:szCs w:val="24"/>
        </w:rPr>
        <w:t xml:space="preserve"> kalendářní rok, přičemž v době trvání pracovního poměru lze platnost průkazu periodicky prodlužovat.</w:t>
      </w:r>
    </w:p>
    <w:p w:rsidR="00C13251" w:rsidRPr="00A20493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 xml:space="preserve">Změny v osobních údajích (jméno, bydliště, ukončení nebo přerušení studia) je uživatel povinen neprodleně knihovně oznámit. V případě, že tak neučiní, může knihovna na uživateli požadovat náklady spojené se zjišťováním těchto údajů. </w:t>
      </w:r>
    </w:p>
    <w:p w:rsidR="00C13251" w:rsidRPr="00A20493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Knihovna je povinna na požádání seznámit uživatele s údaji obsaženými v databázi uživatelů a týkajícími se jeho osoby.</w:t>
      </w:r>
    </w:p>
    <w:p w:rsidR="00C13251" w:rsidRPr="00A20493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Knihovna získává o čtenáři jen takové údaje, které nezbytně potřebuje za účelem provozování knihovny, ochrany knihovního fondu a kvality poskytovaných služeb (příjmení, jméno, datum narození, trvalé, příp. přechodné bydliště, druh a číslo osobního dokladu, kterým byla ověřena totožnost uživatele).</w:t>
      </w:r>
    </w:p>
    <w:p w:rsidR="00C13251" w:rsidRPr="00A20493" w:rsidRDefault="00C13251" w:rsidP="00D84415">
      <w:pPr>
        <w:numPr>
          <w:ilvl w:val="0"/>
          <w:numId w:val="11"/>
        </w:numPr>
        <w:tabs>
          <w:tab w:val="left" w:pos="502"/>
        </w:tabs>
        <w:jc w:val="both"/>
        <w:rPr>
          <w:sz w:val="24"/>
          <w:szCs w:val="24"/>
        </w:rPr>
      </w:pPr>
      <w:r w:rsidRPr="00A20493">
        <w:rPr>
          <w:sz w:val="24"/>
          <w:szCs w:val="24"/>
        </w:rPr>
        <w:t>Knihovna nakládá s osobními údaji uživatelů v souladu se zákonem č. 101/2000 Sb., o ochraně osobních údajů a změně některých zákonů, ve znění pozdějších předpisů.</w:t>
      </w:r>
    </w:p>
    <w:p w:rsidR="00D84415" w:rsidRDefault="0041152D" w:rsidP="00D84415">
      <w:pPr>
        <w:pStyle w:val="Odstavecseseznamem"/>
        <w:numPr>
          <w:ilvl w:val="0"/>
          <w:numId w:val="11"/>
        </w:numPr>
        <w:suppressAutoHyphens w:val="0"/>
        <w:ind w:left="502"/>
        <w:rPr>
          <w:sz w:val="24"/>
          <w:szCs w:val="24"/>
        </w:rPr>
      </w:pPr>
      <w:r w:rsidRPr="00BF0443">
        <w:rPr>
          <w:sz w:val="24"/>
          <w:szCs w:val="24"/>
        </w:rPr>
        <w:t xml:space="preserve">Účastníci kurzu CŽV a </w:t>
      </w:r>
      <w:r w:rsidRPr="00A204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88273" wp14:editId="5CA15FE0">
                <wp:simplePos x="0" y="0"/>
                <wp:positionH relativeFrom="column">
                  <wp:posOffset>457200</wp:posOffset>
                </wp:positionH>
                <wp:positionV relativeFrom="paragraph">
                  <wp:posOffset>2232660</wp:posOffset>
                </wp:positionV>
                <wp:extent cx="0" cy="0"/>
                <wp:effectExtent l="13970" t="6350" r="5080" b="127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5.8pt" to="36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"/>
            </w:pict>
          </mc:Fallback>
        </mc:AlternateContent>
      </w:r>
      <w:r w:rsidRPr="00BF0443">
        <w:rPr>
          <w:sz w:val="24"/>
          <w:szCs w:val="24"/>
        </w:rPr>
        <w:t xml:space="preserve">uchazeči o vykonání státní rigorózní zkoušky na PF UK </w:t>
      </w:r>
      <w:r w:rsidR="00D84415">
        <w:rPr>
          <w:sz w:val="24"/>
          <w:szCs w:val="24"/>
        </w:rPr>
        <w:t xml:space="preserve">   </w:t>
      </w:r>
    </w:p>
    <w:p w:rsidR="00C13251" w:rsidRPr="00BF0443" w:rsidRDefault="00D84415" w:rsidP="00D84415">
      <w:pPr>
        <w:pStyle w:val="Odstavecseseznamem"/>
        <w:suppressAutoHyphens w:val="0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1152D" w:rsidRPr="00BF0443">
        <w:rPr>
          <w:sz w:val="24"/>
          <w:szCs w:val="24"/>
        </w:rPr>
        <w:t>využívají</w:t>
      </w:r>
      <w:r w:rsidR="00BF0443" w:rsidRPr="00BF0443">
        <w:rPr>
          <w:sz w:val="24"/>
          <w:szCs w:val="24"/>
        </w:rPr>
        <w:t xml:space="preserve"> </w:t>
      </w:r>
      <w:r w:rsidR="0041152D" w:rsidRPr="00BF0443">
        <w:rPr>
          <w:sz w:val="24"/>
          <w:szCs w:val="24"/>
        </w:rPr>
        <w:t>služeb knihovny na základě průkazu externího uživatele služeb na UK.</w:t>
      </w:r>
    </w:p>
    <w:p w:rsidR="0041152D" w:rsidRDefault="0041152D" w:rsidP="0041152D">
      <w:pPr>
        <w:suppressAutoHyphens w:val="0"/>
        <w:rPr>
          <w:sz w:val="24"/>
        </w:rPr>
      </w:pPr>
    </w:p>
    <w:p w:rsidR="00A20493" w:rsidRPr="00A20493" w:rsidRDefault="00A20493" w:rsidP="00A20493">
      <w:pPr>
        <w:pStyle w:val="Nadpis4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A20493">
        <w:rPr>
          <w:rFonts w:ascii="Times New Roman" w:hAnsi="Times New Roman" w:cs="Times New Roman"/>
          <w:b w:val="0"/>
          <w:i w:val="0"/>
          <w:color w:val="auto"/>
          <w:sz w:val="24"/>
        </w:rPr>
        <w:t>Čl. II</w:t>
      </w:r>
    </w:p>
    <w:p w:rsidR="00C77F0D" w:rsidRDefault="00A20493" w:rsidP="00A20493">
      <w:pPr>
        <w:pStyle w:val="Nadpis4"/>
        <w:tabs>
          <w:tab w:val="left" w:pos="0"/>
        </w:tabs>
        <w:spacing w:before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</w:rPr>
        <w:t xml:space="preserve">     </w:t>
      </w:r>
      <w:r w:rsidR="00C77F0D" w:rsidRPr="00A204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Toto opatření děkana nabývá účinnosti dnem</w:t>
      </w:r>
      <w:r w:rsidR="0041152D" w:rsidRPr="00A204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7B4F5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1. </w:t>
      </w:r>
      <w:bookmarkStart w:id="0" w:name="_GoBack"/>
      <w:bookmarkEnd w:id="0"/>
      <w:r w:rsidR="007B4F5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C77F0D" w:rsidRPr="00A204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C77F0D" w:rsidRPr="00A204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C77F0D" w:rsidRPr="00A2049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7B4F56" w:rsidRDefault="007B4F56" w:rsidP="007B4F56"/>
    <w:p w:rsidR="007B4F56" w:rsidRPr="007B4F56" w:rsidRDefault="007B4F56" w:rsidP="007B4F56"/>
    <w:p w:rsidR="00C77F0D" w:rsidRPr="00A20493" w:rsidRDefault="00C77F0D" w:rsidP="00C13251">
      <w:pPr>
        <w:tabs>
          <w:tab w:val="left" w:pos="502"/>
        </w:tabs>
        <w:jc w:val="both"/>
        <w:rPr>
          <w:sz w:val="24"/>
          <w:szCs w:val="24"/>
        </w:rPr>
      </w:pPr>
    </w:p>
    <w:p w:rsidR="00C13251" w:rsidRDefault="00C13251" w:rsidP="00C13251">
      <w:pPr>
        <w:tabs>
          <w:tab w:val="left" w:pos="502"/>
        </w:tabs>
        <w:jc w:val="both"/>
        <w:rPr>
          <w:sz w:val="24"/>
        </w:rPr>
      </w:pPr>
    </w:p>
    <w:p w:rsidR="00C13251" w:rsidRPr="00A20493" w:rsidRDefault="00C13251" w:rsidP="00C13251">
      <w:pPr>
        <w:tabs>
          <w:tab w:val="left" w:pos="502"/>
        </w:tabs>
        <w:jc w:val="both"/>
        <w:rPr>
          <w:sz w:val="24"/>
          <w:szCs w:val="24"/>
        </w:rPr>
      </w:pPr>
    </w:p>
    <w:p w:rsidR="00067484" w:rsidRPr="00A20493" w:rsidRDefault="00A20493">
      <w:pPr>
        <w:rPr>
          <w:sz w:val="24"/>
          <w:szCs w:val="24"/>
        </w:rPr>
      </w:pPr>
      <w:r w:rsidRPr="00A20493">
        <w:rPr>
          <w:sz w:val="24"/>
          <w:szCs w:val="24"/>
        </w:rPr>
        <w:t xml:space="preserve">                                                                                           Prof. JUDr. Aleš </w:t>
      </w:r>
      <w:proofErr w:type="spellStart"/>
      <w:r w:rsidRPr="00A20493">
        <w:rPr>
          <w:sz w:val="24"/>
          <w:szCs w:val="24"/>
        </w:rPr>
        <w:t>Gerloch</w:t>
      </w:r>
      <w:proofErr w:type="spellEnd"/>
      <w:r w:rsidRPr="00A20493">
        <w:rPr>
          <w:sz w:val="24"/>
          <w:szCs w:val="24"/>
        </w:rPr>
        <w:t>, CSc.,</w:t>
      </w:r>
    </w:p>
    <w:p w:rsidR="00A20493" w:rsidRPr="00A20493" w:rsidRDefault="00A20493">
      <w:pPr>
        <w:rPr>
          <w:sz w:val="24"/>
          <w:szCs w:val="24"/>
        </w:rPr>
      </w:pPr>
      <w:r w:rsidRPr="00A20493">
        <w:rPr>
          <w:sz w:val="24"/>
          <w:szCs w:val="24"/>
        </w:rPr>
        <w:t xml:space="preserve">                                                                                                                   děkan</w:t>
      </w:r>
    </w:p>
    <w:sectPr w:rsidR="00A20493" w:rsidRPr="00A2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DA" w:rsidRDefault="00BD46DA" w:rsidP="00C13251">
      <w:r>
        <w:separator/>
      </w:r>
    </w:p>
  </w:endnote>
  <w:endnote w:type="continuationSeparator" w:id="0">
    <w:p w:rsidR="00BD46DA" w:rsidRDefault="00BD46DA" w:rsidP="00C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DA" w:rsidRDefault="00BD46DA" w:rsidP="00C13251">
      <w:r>
        <w:separator/>
      </w:r>
    </w:p>
  </w:footnote>
  <w:footnote w:type="continuationSeparator" w:id="0">
    <w:p w:rsidR="00BD46DA" w:rsidRDefault="00BD46DA" w:rsidP="00C13251">
      <w:r>
        <w:continuationSeparator/>
      </w:r>
    </w:p>
  </w:footnote>
  <w:footnote w:id="1">
    <w:p w:rsidR="00BD46DA" w:rsidRDefault="00BD46DA" w:rsidP="00C13251">
      <w:pPr>
        <w:pStyle w:val="Textpoznpodarou"/>
      </w:pPr>
      <w:r>
        <w:rPr>
          <w:rStyle w:val="Znakypropoznmkupodarou"/>
        </w:rPr>
        <w:footnoteRef/>
      </w:r>
      <w:r>
        <w:tab/>
        <w:t xml:space="preserve"> Viz Příloha č. </w:t>
      </w:r>
      <w:proofErr w:type="gramStart"/>
      <w:r>
        <w:t>III  opatření</w:t>
      </w:r>
      <w:proofErr w:type="gramEnd"/>
      <w:r>
        <w:t xml:space="preserve"> děkana č. 8/2007</w:t>
      </w:r>
    </w:p>
    <w:p w:rsidR="00BD46DA" w:rsidRDefault="00BD46DA" w:rsidP="00C132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>
    <w:nsid w:val="00000006"/>
    <w:multiLevelType w:val="singleLevel"/>
    <w:tmpl w:val="19D454F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5">
    <w:nsid w:val="13EA37A7"/>
    <w:multiLevelType w:val="hybridMultilevel"/>
    <w:tmpl w:val="8E9A1F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12AA6"/>
    <w:multiLevelType w:val="hybridMultilevel"/>
    <w:tmpl w:val="D01EAA7E"/>
    <w:lvl w:ilvl="0" w:tplc="0D025B5C">
      <w:start w:val="4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7666A550">
      <w:start w:val="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47E30E39"/>
    <w:multiLevelType w:val="hybridMultilevel"/>
    <w:tmpl w:val="0D4C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E30F3"/>
    <w:multiLevelType w:val="hybridMultilevel"/>
    <w:tmpl w:val="3F7E4B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5A31C5"/>
    <w:multiLevelType w:val="hybridMultilevel"/>
    <w:tmpl w:val="05BEA4D2"/>
    <w:lvl w:ilvl="0" w:tplc="BE624E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52EDE"/>
    <w:multiLevelType w:val="hybridMultilevel"/>
    <w:tmpl w:val="5B0A04D8"/>
    <w:lvl w:ilvl="0" w:tplc="7666A5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F5"/>
    <w:rsid w:val="00067484"/>
    <w:rsid w:val="0041152D"/>
    <w:rsid w:val="007405F5"/>
    <w:rsid w:val="007B4F56"/>
    <w:rsid w:val="00A20493"/>
    <w:rsid w:val="00BD46DA"/>
    <w:rsid w:val="00BF0443"/>
    <w:rsid w:val="00C13251"/>
    <w:rsid w:val="00C319CC"/>
    <w:rsid w:val="00C77F0D"/>
    <w:rsid w:val="00D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5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C13251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1325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nakypropoznmkupodarou">
    <w:name w:val="Znaky pro poznámku pod čarou"/>
    <w:basedOn w:val="Standardnpsmoodstavce"/>
    <w:rsid w:val="00C13251"/>
    <w:rPr>
      <w:vertAlign w:val="superscript"/>
    </w:rPr>
  </w:style>
  <w:style w:type="paragraph" w:customStyle="1" w:styleId="Zkladntext21">
    <w:name w:val="Základní text 21"/>
    <w:basedOn w:val="Normln"/>
    <w:rsid w:val="00C13251"/>
    <w:rPr>
      <w:sz w:val="24"/>
    </w:rPr>
  </w:style>
  <w:style w:type="paragraph" w:styleId="Textpoznpodarou">
    <w:name w:val="footnote text"/>
    <w:basedOn w:val="Normln"/>
    <w:link w:val="TextpoznpodarouChar"/>
    <w:semiHidden/>
    <w:rsid w:val="00C13251"/>
  </w:style>
  <w:style w:type="character" w:customStyle="1" w:styleId="TextpoznpodarouChar">
    <w:name w:val="Text pozn. pod čarou Char"/>
    <w:basedOn w:val="Standardnpsmoodstavce"/>
    <w:link w:val="Textpoznpodarou"/>
    <w:semiHidden/>
    <w:rsid w:val="00C132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F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D4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5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C13251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1325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nakypropoznmkupodarou">
    <w:name w:val="Znaky pro poznámku pod čarou"/>
    <w:basedOn w:val="Standardnpsmoodstavce"/>
    <w:rsid w:val="00C13251"/>
    <w:rPr>
      <w:vertAlign w:val="superscript"/>
    </w:rPr>
  </w:style>
  <w:style w:type="paragraph" w:customStyle="1" w:styleId="Zkladntext21">
    <w:name w:val="Základní text 21"/>
    <w:basedOn w:val="Normln"/>
    <w:rsid w:val="00C13251"/>
    <w:rPr>
      <w:sz w:val="24"/>
    </w:rPr>
  </w:style>
  <w:style w:type="paragraph" w:styleId="Textpoznpodarou">
    <w:name w:val="footnote text"/>
    <w:basedOn w:val="Normln"/>
    <w:link w:val="TextpoznpodarouChar"/>
    <w:semiHidden/>
    <w:rsid w:val="00C13251"/>
  </w:style>
  <w:style w:type="character" w:customStyle="1" w:styleId="TextpoznpodarouChar">
    <w:name w:val="Text pozn. pod čarou Char"/>
    <w:basedOn w:val="Standardnpsmoodstavce"/>
    <w:link w:val="Textpoznpodarou"/>
    <w:semiHidden/>
    <w:rsid w:val="00C132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F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D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Kuklik</dc:creator>
  <cp:lastModifiedBy>Jarmila Vanova</cp:lastModifiedBy>
  <cp:revision>6</cp:revision>
  <dcterms:created xsi:type="dcterms:W3CDTF">2011-10-05T10:10:00Z</dcterms:created>
  <dcterms:modified xsi:type="dcterms:W3CDTF">2012-02-29T16:28:00Z</dcterms:modified>
</cp:coreProperties>
</file>