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F8" w:rsidRPr="008B1DA0" w:rsidRDefault="008B1DA0" w:rsidP="00DA7E90">
      <w:pPr>
        <w:pStyle w:val="Nadpis1"/>
        <w:rPr>
          <w:spacing w:val="6"/>
          <w:sz w:val="30"/>
          <w:szCs w:val="30"/>
        </w:rPr>
      </w:pPr>
      <w:bookmarkStart w:id="0" w:name="_GoBack"/>
      <w:bookmarkEnd w:id="0"/>
      <w:r w:rsidRPr="008B1DA0">
        <w:rPr>
          <w:spacing w:val="6"/>
          <w:sz w:val="30"/>
          <w:szCs w:val="30"/>
        </w:rPr>
        <w:t>Centrum právních dovedností — n</w:t>
      </w:r>
      <w:r w:rsidR="009753F8" w:rsidRPr="008B1DA0">
        <w:rPr>
          <w:spacing w:val="6"/>
          <w:sz w:val="30"/>
          <w:szCs w:val="30"/>
        </w:rPr>
        <w:t>avrhovaná t</w:t>
      </w:r>
      <w:r w:rsidR="00DA7E90" w:rsidRPr="008B1DA0">
        <w:rPr>
          <w:spacing w:val="6"/>
          <w:sz w:val="30"/>
          <w:szCs w:val="30"/>
        </w:rPr>
        <w:t>émata</w:t>
      </w:r>
      <w:r w:rsidR="002812E4" w:rsidRPr="008B1DA0">
        <w:rPr>
          <w:spacing w:val="6"/>
          <w:sz w:val="30"/>
          <w:szCs w:val="30"/>
        </w:rPr>
        <w:t xml:space="preserve"> pro</w:t>
      </w:r>
      <w:r w:rsidR="009753F8" w:rsidRPr="008B1DA0">
        <w:rPr>
          <w:spacing w:val="6"/>
          <w:sz w:val="30"/>
          <w:szCs w:val="30"/>
        </w:rPr>
        <w:t xml:space="preserve"> XII. ročník</w:t>
      </w:r>
      <w:r w:rsidR="002812E4" w:rsidRPr="008B1DA0">
        <w:rPr>
          <w:spacing w:val="6"/>
          <w:sz w:val="30"/>
          <w:szCs w:val="30"/>
        </w:rPr>
        <w:t xml:space="preserve"> SVOČ</w:t>
      </w:r>
    </w:p>
    <w:p w:rsidR="00DA7E90" w:rsidRDefault="00DA7E90" w:rsidP="008B1DA0">
      <w:pPr>
        <w:spacing w:after="120"/>
        <w:ind w:right="185"/>
        <w:jc w:val="both"/>
      </w:pPr>
      <w:r w:rsidRPr="00DA7E90">
        <w:t>Níže jsou uvedeny příklady možných témat. Student</w:t>
      </w:r>
      <w:r>
        <w:t>y</w:t>
      </w:r>
      <w:r w:rsidRPr="00DA7E90">
        <w:t xml:space="preserve"> nicméně vyz</w:t>
      </w:r>
      <w:r>
        <w:t>íváme</w:t>
      </w:r>
      <w:r w:rsidRPr="00DA7E90">
        <w:t xml:space="preserve"> ke kreativitě a </w:t>
      </w:r>
      <w:r>
        <w:t xml:space="preserve">využití možnosti přijít </w:t>
      </w:r>
      <w:r w:rsidRPr="00DA7E90">
        <w:t>s jakýmkoli zajímavým tématem.</w:t>
      </w:r>
    </w:p>
    <w:p w:rsidR="00DA7E90" w:rsidRPr="00DA7E90" w:rsidRDefault="00DA7E90" w:rsidP="00DA7E90"/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2812E4" w:rsidRPr="00CA5547" w:rsidTr="008B1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2812E4" w:rsidRPr="00CA5547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b w:val="0"/>
              </w:rPr>
            </w:pPr>
            <w:r w:rsidRPr="00CA5547">
              <w:rPr>
                <w:b w:val="0"/>
              </w:rPr>
              <w:t>Právní aspekty #</w:t>
            </w:r>
            <w:r w:rsidR="004D0499" w:rsidRPr="004D0499">
              <w:rPr>
                <w:b w:val="0"/>
                <w:lang w:val="en-GB"/>
              </w:rPr>
              <w:t>hashtag</w:t>
            </w:r>
            <w:r w:rsidR="004D0499">
              <w:rPr>
                <w:b w:val="0"/>
                <w:lang w:val="en-GB"/>
              </w:rPr>
              <w:t>u</w:t>
            </w:r>
          </w:p>
          <w:p w:rsidR="002812E4" w:rsidRPr="00CA5547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b w:val="0"/>
              </w:rPr>
            </w:pPr>
            <w:r w:rsidRPr="00CA5547">
              <w:rPr>
                <w:b w:val="0"/>
              </w:rPr>
              <w:t xml:space="preserve">Odpovědnost za jednání </w:t>
            </w:r>
            <w:r w:rsidRPr="004D0499">
              <w:rPr>
                <w:b w:val="0"/>
                <w:lang w:val="en-GB"/>
              </w:rPr>
              <w:t>chatbota</w:t>
            </w:r>
          </w:p>
          <w:p w:rsidR="002812E4" w:rsidRPr="00CA5547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b w:val="0"/>
              </w:rPr>
            </w:pPr>
            <w:r w:rsidRPr="00CA5547">
              <w:rPr>
                <w:b w:val="0"/>
              </w:rPr>
              <w:t>Rozšířená realita a právo</w:t>
            </w:r>
          </w:p>
          <w:p w:rsidR="002812E4" w:rsidRPr="00CA5547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b w:val="0"/>
              </w:rPr>
            </w:pPr>
            <w:r w:rsidRPr="00CA5547">
              <w:rPr>
                <w:b w:val="0"/>
              </w:rPr>
              <w:t>Je zapotřebí širší regulace internetu?</w:t>
            </w:r>
          </w:p>
          <w:p w:rsidR="002812E4" w:rsidRPr="004D0499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b w:val="0"/>
                <w:lang w:val="en-GB"/>
              </w:rPr>
            </w:pPr>
            <w:r w:rsidRPr="004D0499">
              <w:rPr>
                <w:b w:val="0"/>
                <w:lang w:val="en-GB"/>
              </w:rPr>
              <w:t>Fake news</w:t>
            </w:r>
          </w:p>
          <w:p w:rsidR="002812E4" w:rsidRPr="004D0499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b w:val="0"/>
                <w:lang w:val="en-GB"/>
              </w:rPr>
            </w:pPr>
            <w:r w:rsidRPr="004D0499">
              <w:rPr>
                <w:b w:val="0"/>
                <w:lang w:val="en-GB"/>
              </w:rPr>
              <w:t>Zero rating</w:t>
            </w:r>
          </w:p>
          <w:p w:rsidR="002812E4" w:rsidRPr="00CA5547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b w:val="0"/>
              </w:rPr>
            </w:pPr>
            <w:r w:rsidRPr="00CA5547">
              <w:rPr>
                <w:b w:val="0"/>
              </w:rPr>
              <w:t>Internet věcí jako výzva právu</w:t>
            </w:r>
          </w:p>
          <w:p w:rsidR="002812E4" w:rsidRPr="00CA5547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b w:val="0"/>
              </w:rPr>
            </w:pPr>
            <w:r w:rsidRPr="00CA5547">
              <w:rPr>
                <w:b w:val="0"/>
              </w:rPr>
              <w:t>Anonymizace dat jako cesta k jejich širšímu využití</w:t>
            </w:r>
          </w:p>
          <w:p w:rsidR="002812E4" w:rsidRPr="004D0499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b w:val="0"/>
                <w:lang w:val="en-GB"/>
              </w:rPr>
            </w:pPr>
            <w:r w:rsidRPr="004D0499">
              <w:rPr>
                <w:b w:val="0"/>
                <w:lang w:val="en-GB"/>
              </w:rPr>
              <w:t>Blockchain a GDPR</w:t>
            </w:r>
          </w:p>
          <w:p w:rsidR="002812E4" w:rsidRPr="00CA5547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b w:val="0"/>
              </w:rPr>
            </w:pPr>
            <w:r w:rsidRPr="00CA5547">
              <w:rPr>
                <w:b w:val="0"/>
              </w:rPr>
              <w:t xml:space="preserve">Řešení tzv. </w:t>
            </w:r>
            <w:r w:rsidRPr="004D0499">
              <w:rPr>
                <w:b w:val="0"/>
                <w:lang w:val="en-GB"/>
              </w:rPr>
              <w:t>Vendor Lock</w:t>
            </w:r>
            <w:r w:rsidRPr="00CA5547">
              <w:rPr>
                <w:b w:val="0"/>
              </w:rPr>
              <w:t>-In ve veřejných zakázkách v oblasti informačních systémů</w:t>
            </w:r>
          </w:p>
          <w:p w:rsidR="002812E4" w:rsidRPr="00CA5547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b w:val="0"/>
              </w:rPr>
            </w:pPr>
            <w:r w:rsidRPr="004D0499">
              <w:rPr>
                <w:b w:val="0"/>
                <w:lang w:val="en-GB"/>
              </w:rPr>
              <w:t>Cookies</w:t>
            </w:r>
            <w:r w:rsidRPr="00CA5547">
              <w:rPr>
                <w:b w:val="0"/>
              </w:rPr>
              <w:t xml:space="preserve"> a právo</w:t>
            </w:r>
          </w:p>
          <w:p w:rsidR="002812E4" w:rsidRPr="00CA5547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rFonts w:cs="Times New Roman"/>
              </w:rPr>
            </w:pPr>
            <w:r w:rsidRPr="00CA5547">
              <w:rPr>
                <w:b w:val="0"/>
              </w:rPr>
              <w:t>Jak elektronizace změní justici v následujících deseti letech?</w:t>
            </w:r>
          </w:p>
        </w:tc>
        <w:tc>
          <w:tcPr>
            <w:tcW w:w="3402" w:type="dxa"/>
          </w:tcPr>
          <w:p w:rsidR="009753F8" w:rsidRPr="00CA5547" w:rsidRDefault="009753F8" w:rsidP="004D049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A5547">
              <w:rPr>
                <w:rFonts w:cs="Times New Roman"/>
              </w:rPr>
              <w:t>IT právo</w:t>
            </w:r>
          </w:p>
          <w:p w:rsidR="002812E4" w:rsidRPr="00CA5547" w:rsidRDefault="002812E4" w:rsidP="004D049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CA5547">
              <w:rPr>
                <w:rFonts w:cs="Times New Roman"/>
                <w:b w:val="0"/>
              </w:rPr>
              <w:t>JUDr. Zdeněk Kučera, Ph.D.</w:t>
            </w:r>
          </w:p>
        </w:tc>
      </w:tr>
      <w:tr w:rsidR="002812E4" w:rsidRPr="00CA5547" w:rsidTr="008B1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2812E4" w:rsidRPr="00CA5547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b w:val="0"/>
              </w:rPr>
            </w:pPr>
            <w:r w:rsidRPr="00CA5547">
              <w:rPr>
                <w:b w:val="0"/>
              </w:rPr>
              <w:t>Reforma právního vzdělávání v České republice</w:t>
            </w:r>
          </w:p>
          <w:p w:rsidR="002812E4" w:rsidRPr="00CA5547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b w:val="0"/>
              </w:rPr>
            </w:pPr>
            <w:r w:rsidRPr="00CA5547">
              <w:rPr>
                <w:b w:val="0"/>
              </w:rPr>
              <w:t>Ideální absolvent právnické fakulty v 21. století</w:t>
            </w:r>
          </w:p>
          <w:p w:rsidR="002812E4" w:rsidRPr="00CA5547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b w:val="0"/>
              </w:rPr>
            </w:pPr>
            <w:r w:rsidRPr="00CA5547">
              <w:rPr>
                <w:b w:val="0"/>
              </w:rPr>
              <w:t>Komunikace s právními laiky</w:t>
            </w:r>
          </w:p>
          <w:p w:rsidR="002812E4" w:rsidRPr="00CA5547" w:rsidRDefault="002812E4" w:rsidP="004D0499">
            <w:pPr>
              <w:pStyle w:val="Odstavecseseznamem"/>
              <w:numPr>
                <w:ilvl w:val="0"/>
                <w:numId w:val="2"/>
              </w:numPr>
              <w:spacing w:after="120"/>
              <w:ind w:left="454" w:hanging="454"/>
              <w:contextualSpacing w:val="0"/>
              <w:rPr>
                <w:rFonts w:cs="Times New Roman"/>
                <w:b w:val="0"/>
              </w:rPr>
            </w:pPr>
            <w:r w:rsidRPr="00CA5547">
              <w:rPr>
                <w:b w:val="0"/>
              </w:rPr>
              <w:t>Mají zákonům rozumět zejména běžní občané?</w:t>
            </w:r>
          </w:p>
        </w:tc>
        <w:tc>
          <w:tcPr>
            <w:tcW w:w="3402" w:type="dxa"/>
          </w:tcPr>
          <w:p w:rsidR="002812E4" w:rsidRPr="00CA5547" w:rsidRDefault="002812E4" w:rsidP="004D049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A5547">
              <w:rPr>
                <w:rFonts w:cs="Times New Roman"/>
              </w:rPr>
              <w:t>JUDr. Mgr. Michal Urban, Ph.D.</w:t>
            </w:r>
          </w:p>
        </w:tc>
      </w:tr>
    </w:tbl>
    <w:p w:rsidR="00DA7E90" w:rsidRPr="00DA7E90" w:rsidRDefault="00DA7E90" w:rsidP="00DA7E90"/>
    <w:sectPr w:rsidR="00DA7E90" w:rsidRPr="00DA7E90" w:rsidSect="008577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A1150"/>
    <w:multiLevelType w:val="hybridMultilevel"/>
    <w:tmpl w:val="903E0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21F96"/>
    <w:multiLevelType w:val="hybridMultilevel"/>
    <w:tmpl w:val="FC029A84"/>
    <w:lvl w:ilvl="0" w:tplc="64629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DB"/>
    <w:rsid w:val="00111354"/>
    <w:rsid w:val="002812E4"/>
    <w:rsid w:val="0037399E"/>
    <w:rsid w:val="004D0499"/>
    <w:rsid w:val="006661A8"/>
    <w:rsid w:val="007228E5"/>
    <w:rsid w:val="00857724"/>
    <w:rsid w:val="008B1DA0"/>
    <w:rsid w:val="009753F8"/>
    <w:rsid w:val="00A26DDB"/>
    <w:rsid w:val="00C46D0B"/>
    <w:rsid w:val="00CA5547"/>
    <w:rsid w:val="00DA7E90"/>
    <w:rsid w:val="00F4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547"/>
    <w:pPr>
      <w:jc w:val="left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D0499"/>
    <w:pPr>
      <w:keepNext/>
      <w:keepLines/>
      <w:spacing w:before="240"/>
      <w:outlineLvl w:val="0"/>
    </w:pPr>
    <w:rPr>
      <w:rFonts w:ascii="Gill Sans MT" w:eastAsiaTheme="majorEastAsia" w:hAnsi="Gill Sans MT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6DD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6B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D0499"/>
    <w:rPr>
      <w:rFonts w:ascii="Gill Sans MT" w:eastAsiaTheme="majorEastAsia" w:hAnsi="Gill Sans MT" w:cstheme="majorBidi"/>
      <w:sz w:val="32"/>
      <w:szCs w:val="32"/>
    </w:rPr>
  </w:style>
  <w:style w:type="table" w:customStyle="1" w:styleId="PlainTable2">
    <w:name w:val="Plain Table 2"/>
    <w:basedOn w:val="Normlntabulka"/>
    <w:uiPriority w:val="42"/>
    <w:rsid w:val="00CA554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547"/>
    <w:pPr>
      <w:jc w:val="left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D0499"/>
    <w:pPr>
      <w:keepNext/>
      <w:keepLines/>
      <w:spacing w:before="240"/>
      <w:outlineLvl w:val="0"/>
    </w:pPr>
    <w:rPr>
      <w:rFonts w:ascii="Gill Sans MT" w:eastAsiaTheme="majorEastAsia" w:hAnsi="Gill Sans MT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26DD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6B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D0499"/>
    <w:rPr>
      <w:rFonts w:ascii="Gill Sans MT" w:eastAsiaTheme="majorEastAsia" w:hAnsi="Gill Sans MT" w:cstheme="majorBidi"/>
      <w:sz w:val="32"/>
      <w:szCs w:val="32"/>
    </w:rPr>
  </w:style>
  <w:style w:type="table" w:customStyle="1" w:styleId="PlainTable2">
    <w:name w:val="Plain Table 2"/>
    <w:basedOn w:val="Normlntabulka"/>
    <w:uiPriority w:val="42"/>
    <w:rsid w:val="00CA554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Hatina</dc:creator>
  <cp:lastModifiedBy>Jaroslav Prouza</cp:lastModifiedBy>
  <cp:revision>2</cp:revision>
  <dcterms:created xsi:type="dcterms:W3CDTF">2019-01-08T07:29:00Z</dcterms:created>
  <dcterms:modified xsi:type="dcterms:W3CDTF">2019-01-08T07:29:00Z</dcterms:modified>
</cp:coreProperties>
</file>